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overflowPunct w:val="0"/>
        <w:autoSpaceDE w:val="0"/>
        <w:autoSpaceDN w:val="0"/>
        <w:spacing w:line="367" w:lineRule="auto"/>
        <w:jc w:val="left"/>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eastAsia="zh-CN"/>
        </w:rPr>
        <w:t>附件</w:t>
      </w:r>
      <w:r>
        <w:rPr>
          <w:rFonts w:hint="eastAsia" w:ascii="宋体" w:hAnsi="宋体" w:eastAsia="宋体" w:cs="宋体"/>
          <w:b/>
          <w:bCs/>
          <w:kern w:val="0"/>
          <w:sz w:val="32"/>
          <w:szCs w:val="32"/>
          <w:lang w:val="en-US" w:eastAsia="zh-CN"/>
        </w:rPr>
        <w:t>2</w:t>
      </w:r>
    </w:p>
    <w:p>
      <w:pPr>
        <w:pStyle w:val="9"/>
        <w:overflowPunct w:val="0"/>
        <w:autoSpaceDE w:val="0"/>
        <w:autoSpaceDN w:val="0"/>
        <w:spacing w:line="367" w:lineRule="auto"/>
        <w:jc w:val="left"/>
        <w:rPr>
          <w:rFonts w:ascii="新宋体" w:hAnsi="新宋体" w:eastAsia="新宋体"/>
          <w:b/>
          <w:bCs/>
          <w:kern w:val="0"/>
          <w:sz w:val="44"/>
          <w:szCs w:val="44"/>
        </w:rPr>
      </w:pPr>
      <w:bookmarkStart w:id="0" w:name="_GoBack"/>
      <w:bookmarkEnd w:id="0"/>
    </w:p>
    <w:p>
      <w:pPr>
        <w:pStyle w:val="9"/>
        <w:overflowPunct w:val="0"/>
        <w:autoSpaceDE w:val="0"/>
        <w:autoSpaceDN w:val="0"/>
        <w:spacing w:line="367" w:lineRule="auto"/>
        <w:jc w:val="center"/>
        <w:rPr>
          <w:rFonts w:ascii="新宋体" w:hAnsi="新宋体" w:eastAsia="新宋体"/>
          <w:b/>
          <w:bCs/>
          <w:kern w:val="0"/>
          <w:sz w:val="44"/>
          <w:szCs w:val="44"/>
        </w:rPr>
      </w:pPr>
      <w:r>
        <w:rPr>
          <w:rFonts w:ascii="新宋体" w:hAnsi="新宋体" w:eastAsia="新宋体"/>
          <w:b/>
          <w:bCs/>
          <w:kern w:val="0"/>
          <w:sz w:val="44"/>
          <w:szCs w:val="44"/>
        </w:rPr>
        <w:t>吉林省电动汽车充换电</w:t>
      </w:r>
    </w:p>
    <w:p>
      <w:pPr>
        <w:pStyle w:val="9"/>
        <w:overflowPunct w:val="0"/>
        <w:autoSpaceDE w:val="0"/>
        <w:autoSpaceDN w:val="0"/>
        <w:spacing w:line="367" w:lineRule="auto"/>
        <w:jc w:val="center"/>
        <w:rPr>
          <w:rFonts w:ascii="新宋体" w:hAnsi="新宋体" w:eastAsia="新宋体"/>
          <w:b/>
          <w:bCs/>
          <w:kern w:val="0"/>
          <w:sz w:val="44"/>
          <w:szCs w:val="44"/>
        </w:rPr>
      </w:pPr>
      <w:r>
        <w:rPr>
          <w:rFonts w:ascii="新宋体" w:hAnsi="新宋体" w:eastAsia="新宋体"/>
          <w:b/>
          <w:bCs/>
          <w:kern w:val="0"/>
          <w:sz w:val="44"/>
          <w:szCs w:val="44"/>
        </w:rPr>
        <w:t>基础设施建设运营管理暂行办法</w:t>
      </w:r>
    </w:p>
    <w:p>
      <w:pPr>
        <w:pStyle w:val="9"/>
        <w:overflowPunct w:val="0"/>
        <w:autoSpaceDE w:val="0"/>
        <w:autoSpaceDN w:val="0"/>
        <w:spacing w:line="367" w:lineRule="auto"/>
        <w:jc w:val="center"/>
        <w:rPr>
          <w:rFonts w:ascii="新宋体" w:hAnsi="新宋体" w:eastAsia="新宋体"/>
          <w:b/>
          <w:bCs/>
          <w:kern w:val="0"/>
          <w:sz w:val="44"/>
          <w:szCs w:val="44"/>
        </w:rPr>
      </w:pPr>
      <w:r>
        <w:rPr>
          <w:rStyle w:val="8"/>
          <w:rFonts w:hint="eastAsia" w:ascii="宋体" w:hAnsi="宋体"/>
          <w:sz w:val="32"/>
          <w:szCs w:val="32"/>
        </w:rPr>
        <w:t>（修订版）</w:t>
      </w:r>
    </w:p>
    <w:p>
      <w:pPr>
        <w:pStyle w:val="9"/>
        <w:overflowPunct w:val="0"/>
        <w:autoSpaceDE w:val="0"/>
        <w:autoSpaceDN w:val="0"/>
        <w:spacing w:line="333" w:lineRule="auto"/>
        <w:rPr>
          <w:rStyle w:val="8"/>
          <w:rFonts w:ascii="楷体" w:hAnsi="楷体" w:eastAsia="楷体" w:cs="楷体"/>
          <w:sz w:val="32"/>
          <w:szCs w:val="32"/>
        </w:rPr>
      </w:pPr>
    </w:p>
    <w:p>
      <w:pPr>
        <w:pStyle w:val="9"/>
        <w:overflowPunct w:val="0"/>
        <w:autoSpaceDE w:val="0"/>
        <w:autoSpaceDN w:val="0"/>
        <w:spacing w:line="333" w:lineRule="auto"/>
        <w:ind w:firstLine="643" w:firstLineChars="200"/>
        <w:rPr>
          <w:rStyle w:val="8"/>
          <w:rFonts w:ascii="宋体" w:hAnsi="宋体"/>
          <w:sz w:val="32"/>
          <w:szCs w:val="32"/>
        </w:rPr>
      </w:pPr>
      <w:r>
        <w:rPr>
          <w:rStyle w:val="8"/>
          <w:rFonts w:ascii="宋体" w:hAnsi="宋体"/>
          <w:sz w:val="32"/>
          <w:szCs w:val="32"/>
        </w:rPr>
        <w:t>第一章 总则</w:t>
      </w:r>
    </w:p>
    <w:p>
      <w:pPr>
        <w:pStyle w:val="9"/>
        <w:overflowPunct w:val="0"/>
        <w:autoSpaceDE w:val="0"/>
        <w:autoSpaceDN w:val="0"/>
        <w:spacing w:line="333" w:lineRule="auto"/>
        <w:ind w:firstLine="643" w:firstLineChars="200"/>
        <w:rPr>
          <w:rFonts w:ascii="仿宋" w:hAnsi="仿宋" w:eastAsia="仿宋" w:cs="仿宋"/>
          <w:kern w:val="0"/>
          <w:sz w:val="32"/>
          <w:szCs w:val="32"/>
        </w:rPr>
      </w:pPr>
      <w:r>
        <w:rPr>
          <w:rFonts w:ascii="仿宋" w:hAnsi="仿宋" w:eastAsia="仿宋" w:cs="仿宋"/>
          <w:b/>
          <w:bCs/>
          <w:kern w:val="0"/>
          <w:sz w:val="32"/>
          <w:szCs w:val="32"/>
          <w:lang w:bidi="zh-CN"/>
        </w:rPr>
        <w:t>第一条</w:t>
      </w:r>
      <w:r>
        <w:rPr>
          <w:rFonts w:ascii="仿宋" w:hAnsi="仿宋" w:eastAsia="仿宋" w:cs="仿宋"/>
          <w:kern w:val="0"/>
          <w:sz w:val="32"/>
          <w:szCs w:val="32"/>
          <w:lang w:bidi="zh-CN"/>
        </w:rPr>
        <w:t xml:space="preserve"> </w:t>
      </w:r>
      <w:r>
        <w:rPr>
          <w:rFonts w:ascii="仿宋" w:hAnsi="仿宋" w:eastAsia="仿宋" w:cs="仿宋"/>
          <w:kern w:val="0"/>
          <w:sz w:val="32"/>
          <w:szCs w:val="32"/>
        </w:rPr>
        <w:t>为进一步加快推进我省电动汽车充换电基础设施建设，规范我省电动汽车充电基础设施建设、运营和管理，促进我省电动汽车推广应用和产业发展，根据国务院办公厅《关于加快电动汽车充电基础设施建设的指导意见》（国办发〔2015〕73号）和</w:t>
      </w:r>
      <w:r>
        <w:rPr>
          <w:rFonts w:hint="eastAsia" w:ascii="仿宋" w:hAnsi="仿宋" w:eastAsia="仿宋" w:cs="仿宋"/>
          <w:kern w:val="0"/>
          <w:sz w:val="32"/>
          <w:szCs w:val="32"/>
        </w:rPr>
        <w:t>《国家发展改革委等部门关于进一步提升电动汽车充电基础设施服务保障能力的实施意见》（发改能源规（2022）53号）</w:t>
      </w:r>
      <w:r>
        <w:rPr>
          <w:rFonts w:ascii="仿宋" w:hAnsi="仿宋" w:eastAsia="仿宋" w:cs="仿宋"/>
          <w:kern w:val="0"/>
          <w:sz w:val="32"/>
          <w:szCs w:val="32"/>
        </w:rPr>
        <w:t>以及</w:t>
      </w:r>
      <w:r>
        <w:rPr>
          <w:rFonts w:hint="eastAsia" w:ascii="仿宋_GB2312" w:eastAsia="仿宋_GB2312"/>
          <w:sz w:val="32"/>
          <w:szCs w:val="32"/>
        </w:rPr>
        <w:t>《吉林省</w:t>
      </w:r>
      <w:r>
        <w:rPr>
          <w:rFonts w:ascii="仿宋_GB2312" w:eastAsia="仿宋_GB2312"/>
          <w:sz w:val="32"/>
          <w:szCs w:val="32"/>
        </w:rPr>
        <w:t>进一步促进汽车消费若干措施》</w:t>
      </w:r>
      <w:r>
        <w:rPr>
          <w:rFonts w:hint="eastAsia" w:ascii="仿宋_GB2312" w:eastAsia="仿宋_GB2312"/>
          <w:sz w:val="32"/>
          <w:szCs w:val="32"/>
        </w:rPr>
        <w:t>（吉</w:t>
      </w:r>
      <w:r>
        <w:rPr>
          <w:rFonts w:ascii="仿宋_GB2312" w:eastAsia="仿宋_GB2312"/>
          <w:sz w:val="32"/>
          <w:szCs w:val="32"/>
        </w:rPr>
        <w:t>政</w:t>
      </w:r>
      <w:r>
        <w:rPr>
          <w:rFonts w:hint="eastAsia" w:ascii="仿宋_GB2312" w:eastAsia="仿宋_GB2312"/>
          <w:sz w:val="32"/>
          <w:szCs w:val="32"/>
        </w:rPr>
        <w:t>办发〔2021〕3号）</w:t>
      </w:r>
      <w:r>
        <w:rPr>
          <w:rFonts w:ascii="仿宋" w:hAnsi="仿宋" w:eastAsia="仿宋" w:cs="仿宋"/>
          <w:kern w:val="0"/>
          <w:sz w:val="32"/>
          <w:szCs w:val="32"/>
          <w:lang w:bidi="zh-CN"/>
        </w:rPr>
        <w:t>等文件</w:t>
      </w:r>
      <w:r>
        <w:rPr>
          <w:rFonts w:hint="eastAsia" w:ascii="仿宋" w:hAnsi="仿宋" w:eastAsia="仿宋" w:cs="仿宋"/>
          <w:kern w:val="0"/>
          <w:sz w:val="32"/>
          <w:szCs w:val="32"/>
          <w:lang w:bidi="zh-CN"/>
        </w:rPr>
        <w:t>精神</w:t>
      </w:r>
      <w:r>
        <w:rPr>
          <w:rFonts w:ascii="仿宋" w:hAnsi="仿宋" w:eastAsia="仿宋" w:cs="仿宋"/>
          <w:kern w:val="0"/>
          <w:sz w:val="32"/>
          <w:szCs w:val="32"/>
          <w:lang w:bidi="zh-CN"/>
        </w:rPr>
        <w:t>，</w:t>
      </w:r>
      <w:r>
        <w:rPr>
          <w:rFonts w:hint="eastAsia" w:ascii="仿宋" w:hAnsi="仿宋" w:eastAsia="仿宋" w:cs="仿宋"/>
          <w:kern w:val="0"/>
          <w:sz w:val="32"/>
          <w:szCs w:val="32"/>
          <w:lang w:bidi="zh-CN"/>
        </w:rPr>
        <w:t>修订《</w:t>
      </w:r>
      <w:r>
        <w:rPr>
          <w:rFonts w:ascii="仿宋" w:hAnsi="仿宋" w:eastAsia="仿宋" w:cs="仿宋"/>
          <w:kern w:val="0"/>
          <w:sz w:val="32"/>
          <w:szCs w:val="32"/>
          <w:lang w:bidi="zh-CN"/>
        </w:rPr>
        <w:t>吉林省电动汽车充换电基础设施建设运营管理暂行办法</w:t>
      </w:r>
      <w:r>
        <w:rPr>
          <w:rFonts w:hint="eastAsia" w:ascii="仿宋" w:hAnsi="仿宋" w:eastAsia="仿宋" w:cs="仿宋"/>
          <w:kern w:val="0"/>
          <w:sz w:val="32"/>
          <w:szCs w:val="32"/>
          <w:lang w:bidi="zh-CN"/>
        </w:rPr>
        <w:t>》</w:t>
      </w:r>
      <w:r>
        <w:rPr>
          <w:rFonts w:ascii="仿宋" w:hAnsi="仿宋" w:eastAsia="仿宋" w:cs="仿宋"/>
          <w:kern w:val="0"/>
          <w:sz w:val="32"/>
          <w:szCs w:val="32"/>
        </w:rPr>
        <w:t>。</w:t>
      </w:r>
    </w:p>
    <w:p>
      <w:pPr>
        <w:pStyle w:val="9"/>
        <w:overflowPunct w:val="0"/>
        <w:autoSpaceDE w:val="0"/>
        <w:autoSpaceDN w:val="0"/>
        <w:spacing w:line="333" w:lineRule="auto"/>
        <w:ind w:firstLine="643" w:firstLineChars="200"/>
        <w:rPr>
          <w:rFonts w:ascii="仿宋" w:hAnsi="仿宋" w:eastAsia="仿宋" w:cs="仿宋"/>
          <w:kern w:val="0"/>
          <w:sz w:val="32"/>
          <w:szCs w:val="32"/>
        </w:rPr>
      </w:pPr>
      <w:r>
        <w:rPr>
          <w:rFonts w:ascii="仿宋" w:hAnsi="仿宋" w:eastAsia="仿宋" w:cs="仿宋"/>
          <w:b/>
          <w:bCs/>
          <w:kern w:val="0"/>
          <w:sz w:val="32"/>
          <w:szCs w:val="32"/>
        </w:rPr>
        <w:t>第二条</w:t>
      </w:r>
      <w:r>
        <w:rPr>
          <w:rFonts w:ascii="仿宋" w:hAnsi="仿宋" w:eastAsia="仿宋" w:cs="仿宋"/>
          <w:kern w:val="0"/>
          <w:sz w:val="32"/>
          <w:szCs w:val="32"/>
        </w:rPr>
        <w:t xml:space="preserve"> 本办法所称充换电基础设施是指为电动汽车提供电能补给的各类充换电设施，是新型的城市基础设施，主要包括集中式充换电站和分布式充电桩。按照不同的充换电对象分为自用充电设施、专用充电设施、公用充电设施和换电设施四类。</w:t>
      </w:r>
    </w:p>
    <w:p>
      <w:pPr>
        <w:pStyle w:val="9"/>
        <w:overflowPunct w:val="0"/>
        <w:autoSpaceDE w:val="0"/>
        <w:autoSpaceDN w:val="0"/>
        <w:spacing w:line="333" w:lineRule="auto"/>
        <w:ind w:firstLine="640" w:firstLineChars="200"/>
        <w:rPr>
          <w:rFonts w:ascii="仿宋" w:hAnsi="仿宋" w:eastAsia="仿宋" w:cs="仿宋"/>
          <w:kern w:val="0"/>
          <w:sz w:val="32"/>
          <w:szCs w:val="32"/>
          <w:lang w:bidi="zh-CN"/>
        </w:rPr>
      </w:pPr>
      <w:r>
        <w:rPr>
          <w:rFonts w:ascii="仿宋" w:hAnsi="仿宋" w:eastAsia="仿宋" w:cs="仿宋"/>
          <w:kern w:val="0"/>
          <w:sz w:val="32"/>
          <w:szCs w:val="32"/>
          <w:lang w:bidi="zh-CN"/>
        </w:rPr>
        <w:t>(一)自用充电设施，是指专为某个私人用户提供充电服务的充电设施。</w:t>
      </w:r>
    </w:p>
    <w:p>
      <w:pPr>
        <w:pStyle w:val="9"/>
        <w:overflowPunct w:val="0"/>
        <w:autoSpaceDE w:val="0"/>
        <w:autoSpaceDN w:val="0"/>
        <w:spacing w:line="333" w:lineRule="auto"/>
        <w:ind w:firstLine="640" w:firstLineChars="200"/>
        <w:rPr>
          <w:rFonts w:ascii="仿宋" w:hAnsi="仿宋" w:eastAsia="仿宋" w:cs="仿宋"/>
          <w:kern w:val="0"/>
          <w:sz w:val="32"/>
          <w:szCs w:val="32"/>
          <w:lang w:bidi="zh-CN"/>
        </w:rPr>
      </w:pPr>
      <w:r>
        <w:rPr>
          <w:rFonts w:ascii="仿宋" w:hAnsi="仿宋" w:eastAsia="仿宋" w:cs="仿宋"/>
          <w:kern w:val="0"/>
          <w:sz w:val="32"/>
          <w:szCs w:val="32"/>
          <w:lang w:bidi="zh-CN"/>
        </w:rPr>
        <w:t>(二)专用充电设施，是指专为党政机关、企（事）业单位、社会团体以及住宅小区等专属停车位建设，为公务车辆、专用车辆、员工车辆、业主车辆等提供充电服务的充电设施。</w:t>
      </w:r>
    </w:p>
    <w:p>
      <w:pPr>
        <w:pStyle w:val="9"/>
        <w:overflowPunct w:val="0"/>
        <w:autoSpaceDE w:val="0"/>
        <w:autoSpaceDN w:val="0"/>
        <w:spacing w:line="333" w:lineRule="auto"/>
        <w:ind w:firstLine="640" w:firstLineChars="200"/>
        <w:rPr>
          <w:rFonts w:ascii="仿宋" w:hAnsi="仿宋" w:eastAsia="仿宋" w:cs="仿宋"/>
          <w:kern w:val="0"/>
          <w:sz w:val="32"/>
          <w:szCs w:val="32"/>
          <w:lang w:bidi="zh-CN"/>
        </w:rPr>
      </w:pPr>
      <w:r>
        <w:rPr>
          <w:rFonts w:ascii="仿宋" w:hAnsi="仿宋" w:eastAsia="仿宋" w:cs="仿宋"/>
          <w:kern w:val="0"/>
          <w:sz w:val="32"/>
          <w:szCs w:val="32"/>
          <w:lang w:bidi="zh-CN"/>
        </w:rPr>
        <w:t>(三)公用充电设施，是指专为社会车辆提供充电服务及增值服务的充电设施，包括集中式充换电站、分布式充电桩群以及可移动的小型充换电设施。</w:t>
      </w:r>
    </w:p>
    <w:p>
      <w:pPr>
        <w:pStyle w:val="9"/>
        <w:overflowPunct w:val="0"/>
        <w:autoSpaceDE w:val="0"/>
        <w:autoSpaceDN w:val="0"/>
        <w:spacing w:line="333" w:lineRule="auto"/>
        <w:ind w:firstLine="640" w:firstLineChars="200"/>
        <w:rPr>
          <w:rFonts w:ascii="仿宋" w:hAnsi="仿宋" w:eastAsia="仿宋" w:cs="仿宋"/>
          <w:kern w:val="0"/>
          <w:sz w:val="32"/>
          <w:szCs w:val="32"/>
          <w:lang w:bidi="zh-CN"/>
        </w:rPr>
      </w:pPr>
      <w:r>
        <w:rPr>
          <w:rFonts w:ascii="仿宋" w:hAnsi="仿宋" w:eastAsia="仿宋" w:cs="仿宋"/>
          <w:kern w:val="0"/>
          <w:sz w:val="32"/>
          <w:szCs w:val="32"/>
          <w:lang w:bidi="zh-CN"/>
        </w:rPr>
        <w:t>（四）换电设施，是指通过为电动车辆提供动力电池更换服务来实现电能补给及增值服务的换电设施和场站。</w:t>
      </w:r>
    </w:p>
    <w:p>
      <w:pPr>
        <w:pStyle w:val="9"/>
        <w:overflowPunct w:val="0"/>
        <w:autoSpaceDE w:val="0"/>
        <w:autoSpaceDN w:val="0"/>
        <w:spacing w:line="333" w:lineRule="auto"/>
        <w:ind w:firstLine="643" w:firstLineChars="200"/>
        <w:rPr>
          <w:rFonts w:ascii="仿宋" w:hAnsi="仿宋" w:eastAsia="仿宋"/>
          <w:color w:val="000000"/>
          <w:sz w:val="32"/>
        </w:rPr>
      </w:pPr>
      <w:r>
        <w:rPr>
          <w:rFonts w:ascii="仿宋" w:hAnsi="仿宋" w:eastAsia="仿宋" w:cs="仿宋"/>
          <w:b/>
          <w:bCs/>
          <w:kern w:val="0"/>
          <w:sz w:val="32"/>
          <w:szCs w:val="32"/>
          <w:lang w:bidi="zh-CN"/>
        </w:rPr>
        <w:t>第三条</w:t>
      </w:r>
      <w:r>
        <w:rPr>
          <w:rFonts w:ascii="仿宋" w:hAnsi="仿宋" w:eastAsia="仿宋" w:cs="仿宋"/>
          <w:kern w:val="0"/>
          <w:sz w:val="32"/>
          <w:szCs w:val="32"/>
          <w:lang w:bidi="zh-CN"/>
        </w:rPr>
        <w:t xml:space="preserve"> 本办法</w:t>
      </w:r>
      <w:r>
        <w:rPr>
          <w:rFonts w:ascii="仿宋" w:hAnsi="仿宋" w:eastAsia="仿宋"/>
          <w:color w:val="000000"/>
          <w:sz w:val="32"/>
        </w:rPr>
        <w:t>适用于在本省范围内充电基础设施的布局规划、投资建设、服务收费及监督管理。</w:t>
      </w:r>
    </w:p>
    <w:p>
      <w:pPr>
        <w:pStyle w:val="9"/>
        <w:overflowPunct w:val="0"/>
        <w:autoSpaceDE w:val="0"/>
        <w:autoSpaceDN w:val="0"/>
        <w:spacing w:line="333" w:lineRule="auto"/>
        <w:ind w:firstLine="643" w:firstLineChars="200"/>
        <w:rPr>
          <w:rStyle w:val="8"/>
          <w:rFonts w:ascii="宋体" w:hAnsi="宋体"/>
          <w:sz w:val="32"/>
          <w:szCs w:val="32"/>
        </w:rPr>
      </w:pPr>
      <w:r>
        <w:rPr>
          <w:rStyle w:val="8"/>
          <w:rFonts w:ascii="宋体" w:hAnsi="宋体"/>
          <w:sz w:val="32"/>
          <w:szCs w:val="32"/>
        </w:rPr>
        <w:t>第二章 建设原则</w:t>
      </w:r>
    </w:p>
    <w:p>
      <w:pPr>
        <w:pStyle w:val="9"/>
        <w:overflowPunct w:val="0"/>
        <w:autoSpaceDE w:val="0"/>
        <w:autoSpaceDN w:val="0"/>
        <w:spacing w:line="333" w:lineRule="auto"/>
        <w:ind w:firstLine="643" w:firstLineChars="200"/>
        <w:rPr>
          <w:rFonts w:ascii="仿宋" w:hAnsi="仿宋" w:eastAsia="仿宋" w:cs="仿宋"/>
          <w:kern w:val="0"/>
          <w:sz w:val="32"/>
          <w:szCs w:val="32"/>
          <w:lang w:bidi="zh-CN"/>
        </w:rPr>
      </w:pPr>
      <w:r>
        <w:rPr>
          <w:rFonts w:ascii="仿宋" w:hAnsi="仿宋" w:eastAsia="仿宋" w:cs="仿宋"/>
          <w:b/>
          <w:bCs/>
          <w:kern w:val="0"/>
          <w:sz w:val="32"/>
          <w:szCs w:val="32"/>
          <w:lang w:bidi="zh-CN"/>
        </w:rPr>
        <w:t>第四条</w:t>
      </w:r>
      <w:r>
        <w:rPr>
          <w:rFonts w:ascii="仿宋" w:hAnsi="仿宋" w:eastAsia="仿宋" w:cs="仿宋"/>
          <w:kern w:val="0"/>
          <w:sz w:val="32"/>
          <w:szCs w:val="32"/>
          <w:lang w:bidi="zh-CN"/>
        </w:rPr>
        <w:t xml:space="preserve"> 按照“自(专)用为主</w:t>
      </w:r>
      <w:r>
        <w:rPr>
          <w:rFonts w:hint="eastAsia" w:ascii="仿宋" w:hAnsi="仿宋" w:eastAsia="仿宋" w:cs="仿宋"/>
          <w:kern w:val="0"/>
          <w:sz w:val="32"/>
          <w:szCs w:val="32"/>
          <w:lang w:bidi="zh-CN"/>
        </w:rPr>
        <w:t>、</w:t>
      </w:r>
      <w:r>
        <w:rPr>
          <w:rFonts w:ascii="仿宋" w:hAnsi="仿宋" w:eastAsia="仿宋" w:cs="仿宋"/>
          <w:kern w:val="0"/>
          <w:sz w:val="32"/>
          <w:szCs w:val="32"/>
          <w:lang w:bidi="zh-CN"/>
        </w:rPr>
        <w:t>公用为辅</w:t>
      </w:r>
      <w:r>
        <w:rPr>
          <w:rFonts w:hint="eastAsia" w:ascii="仿宋" w:hAnsi="仿宋" w:eastAsia="仿宋" w:cs="仿宋"/>
          <w:kern w:val="0"/>
          <w:sz w:val="32"/>
          <w:szCs w:val="32"/>
          <w:lang w:bidi="zh-CN"/>
        </w:rPr>
        <w:t>、</w:t>
      </w:r>
      <w:r>
        <w:rPr>
          <w:rFonts w:ascii="仿宋" w:hAnsi="仿宋" w:eastAsia="仿宋" w:cs="仿宋"/>
          <w:kern w:val="0"/>
          <w:sz w:val="32"/>
          <w:szCs w:val="32"/>
          <w:lang w:bidi="zh-CN"/>
        </w:rPr>
        <w:t>车桩相随</w:t>
      </w:r>
      <w:r>
        <w:rPr>
          <w:rFonts w:hint="eastAsia" w:ascii="仿宋" w:hAnsi="仿宋" w:eastAsia="仿宋" w:cs="仿宋"/>
          <w:kern w:val="0"/>
          <w:sz w:val="32"/>
          <w:szCs w:val="32"/>
          <w:lang w:bidi="zh-CN"/>
        </w:rPr>
        <w:t>、</w:t>
      </w:r>
      <w:r>
        <w:rPr>
          <w:rFonts w:ascii="仿宋" w:hAnsi="仿宋" w:eastAsia="仿宋" w:cs="仿宋"/>
          <w:kern w:val="0"/>
          <w:sz w:val="32"/>
          <w:szCs w:val="32"/>
          <w:lang w:bidi="zh-CN"/>
        </w:rPr>
        <w:t>需求牵引</w:t>
      </w:r>
      <w:r>
        <w:rPr>
          <w:rFonts w:hint="eastAsia" w:ascii="仿宋" w:hAnsi="仿宋" w:eastAsia="仿宋" w:cs="仿宋"/>
          <w:kern w:val="0"/>
          <w:sz w:val="32"/>
          <w:szCs w:val="32"/>
          <w:lang w:bidi="zh-CN"/>
        </w:rPr>
        <w:t>、按需建设、</w:t>
      </w:r>
      <w:r>
        <w:rPr>
          <w:rFonts w:ascii="仿宋" w:hAnsi="仿宋" w:eastAsia="仿宋" w:cs="仿宋"/>
          <w:kern w:val="0"/>
          <w:sz w:val="32"/>
          <w:szCs w:val="32"/>
          <w:lang w:bidi="zh-CN"/>
        </w:rPr>
        <w:t>探索换电模式”的原则，</w:t>
      </w:r>
      <w:r>
        <w:rPr>
          <w:rFonts w:hint="eastAsia" w:ascii="仿宋" w:hAnsi="仿宋" w:eastAsia="仿宋" w:cs="仿宋"/>
          <w:kern w:val="0"/>
          <w:sz w:val="32"/>
          <w:szCs w:val="32"/>
          <w:lang w:bidi="zh-CN"/>
        </w:rPr>
        <w:t>以国土空间总体规划为依据，</w:t>
      </w:r>
      <w:r>
        <w:rPr>
          <w:rFonts w:ascii="仿宋" w:hAnsi="仿宋" w:eastAsia="仿宋" w:cs="仿宋"/>
          <w:kern w:val="0"/>
          <w:sz w:val="32"/>
          <w:szCs w:val="32"/>
          <w:lang w:bidi="zh-CN"/>
        </w:rPr>
        <w:t>从城市中心区和优先发展区向边缘区和一般区域扩展，积极推广智能有序慢充为主、应急快充为辅的居民区充换电服务模式，加快形成适度超前、快充为主、慢充为辅的高速公路和城乡公共充换电网络，逐步在我省范围内形成以用户居住地、单位内部停车场、公交及出租车场站等配建的专用充换电基础设施为主体，以城市公共建筑配建停车场、社会公共停车场、路内临时停车位配建的公共充电设施</w:t>
      </w:r>
      <w:r>
        <w:rPr>
          <w:rFonts w:hint="eastAsia" w:ascii="仿宋" w:hAnsi="仿宋" w:eastAsia="仿宋" w:cs="仿宋"/>
          <w:kern w:val="0"/>
          <w:sz w:val="32"/>
          <w:szCs w:val="32"/>
          <w:lang w:bidi="zh-CN"/>
        </w:rPr>
        <w:t>和换电设施</w:t>
      </w:r>
      <w:r>
        <w:rPr>
          <w:rFonts w:ascii="仿宋" w:hAnsi="仿宋" w:eastAsia="仿宋" w:cs="仿宋"/>
          <w:kern w:val="0"/>
          <w:sz w:val="32"/>
          <w:szCs w:val="32"/>
          <w:lang w:bidi="zh-CN"/>
        </w:rPr>
        <w:t>为辅助，以独立占地的城市快充站、换电站和高速公路服务区配建的城际快充站、换电站为补充，以充电智能服务平台为支撑，建设布局合理、功能完善的充换电基础设施体系。</w:t>
      </w:r>
    </w:p>
    <w:p>
      <w:pPr>
        <w:pStyle w:val="9"/>
        <w:overflowPunct w:val="0"/>
        <w:autoSpaceDE w:val="0"/>
        <w:autoSpaceDN w:val="0"/>
        <w:spacing w:line="333" w:lineRule="auto"/>
      </w:pPr>
      <w:r>
        <w:rPr>
          <w:sz w:val="32"/>
          <w:szCs w:val="32"/>
        </w:rPr>
        <w:t>　　</w:t>
      </w:r>
      <w:r>
        <w:rPr>
          <w:rFonts w:ascii="仿宋" w:hAnsi="仿宋" w:eastAsia="仿宋" w:cs="仿宋"/>
          <w:kern w:val="0"/>
          <w:sz w:val="32"/>
          <w:szCs w:val="32"/>
          <w:lang w:bidi="zh-CN"/>
        </w:rPr>
        <w:t>(一)在住宅小区建设以慢充为主的自用、专用充电设施</w:t>
      </w:r>
      <w:r>
        <w:rPr>
          <w:rFonts w:hint="eastAsia" w:ascii="仿宋" w:hAnsi="仿宋" w:eastAsia="仿宋" w:cs="仿宋"/>
          <w:kern w:val="0"/>
          <w:sz w:val="32"/>
          <w:szCs w:val="32"/>
          <w:lang w:bidi="zh-CN"/>
        </w:rPr>
        <w:t>和换电设施</w:t>
      </w:r>
      <w:r>
        <w:rPr>
          <w:rFonts w:ascii="仿宋" w:hAnsi="仿宋" w:eastAsia="仿宋" w:cs="仿宋"/>
          <w:kern w:val="0"/>
          <w:sz w:val="32"/>
          <w:szCs w:val="32"/>
          <w:lang w:bidi="zh-CN"/>
        </w:rPr>
        <w:t>。</w:t>
      </w:r>
    </w:p>
    <w:p>
      <w:pPr>
        <w:pStyle w:val="9"/>
        <w:overflowPunct w:val="0"/>
        <w:autoSpaceDE w:val="0"/>
        <w:autoSpaceDN w:val="0"/>
        <w:spacing w:line="333" w:lineRule="auto"/>
      </w:pPr>
      <w:r>
        <w:rPr>
          <w:sz w:val="32"/>
          <w:szCs w:val="32"/>
        </w:rPr>
        <w:t>　　</w:t>
      </w:r>
      <w:r>
        <w:rPr>
          <w:rFonts w:ascii="仿宋" w:hAnsi="仿宋" w:eastAsia="仿宋" w:cs="仿宋"/>
          <w:kern w:val="0"/>
          <w:sz w:val="32"/>
          <w:szCs w:val="32"/>
          <w:lang w:bidi="zh-CN"/>
        </w:rPr>
        <w:t>(二)在办公场所建设快慢结合的专用充电设施</w:t>
      </w:r>
      <w:r>
        <w:rPr>
          <w:rFonts w:hint="eastAsia" w:ascii="仿宋" w:hAnsi="仿宋" w:eastAsia="仿宋" w:cs="仿宋"/>
          <w:kern w:val="0"/>
          <w:sz w:val="32"/>
          <w:szCs w:val="32"/>
          <w:lang w:bidi="zh-CN"/>
        </w:rPr>
        <w:t>和换电设施</w:t>
      </w:r>
      <w:r>
        <w:rPr>
          <w:rFonts w:ascii="仿宋" w:hAnsi="仿宋" w:eastAsia="仿宋" w:cs="仿宋"/>
          <w:kern w:val="0"/>
          <w:sz w:val="32"/>
          <w:szCs w:val="32"/>
          <w:lang w:bidi="zh-CN"/>
        </w:rPr>
        <w:t>。</w:t>
      </w:r>
    </w:p>
    <w:p>
      <w:pPr>
        <w:pStyle w:val="9"/>
        <w:overflowPunct w:val="0"/>
        <w:autoSpaceDE w:val="0"/>
        <w:autoSpaceDN w:val="0"/>
        <w:spacing w:line="333" w:lineRule="auto"/>
      </w:pPr>
      <w:r>
        <w:rPr>
          <w:sz w:val="32"/>
          <w:szCs w:val="32"/>
        </w:rPr>
        <w:t>　　</w:t>
      </w:r>
      <w:r>
        <w:rPr>
          <w:rFonts w:ascii="仿宋" w:hAnsi="仿宋" w:eastAsia="仿宋" w:cs="仿宋"/>
          <w:kern w:val="0"/>
          <w:sz w:val="32"/>
          <w:szCs w:val="32"/>
          <w:lang w:bidi="zh-CN"/>
        </w:rPr>
        <w:t>(三)在商场、车站、公共停车场、高速公路服务区、加油站以及具备停车条件的普通公路服务区、城市道路旁建设以快充为主、慢充为辅的公用充电设施</w:t>
      </w:r>
      <w:r>
        <w:rPr>
          <w:rFonts w:hint="eastAsia" w:ascii="仿宋" w:hAnsi="仿宋" w:eastAsia="仿宋" w:cs="仿宋"/>
          <w:kern w:val="0"/>
          <w:sz w:val="32"/>
          <w:szCs w:val="32"/>
          <w:lang w:bidi="zh-CN"/>
        </w:rPr>
        <w:t>和换电设施</w:t>
      </w:r>
      <w:r>
        <w:rPr>
          <w:rFonts w:ascii="仿宋" w:hAnsi="仿宋" w:eastAsia="仿宋" w:cs="仿宋"/>
          <w:kern w:val="0"/>
          <w:sz w:val="32"/>
          <w:szCs w:val="32"/>
          <w:lang w:bidi="zh-CN"/>
        </w:rPr>
        <w:t>。</w:t>
      </w:r>
    </w:p>
    <w:p>
      <w:pPr>
        <w:pStyle w:val="9"/>
        <w:overflowPunct w:val="0"/>
        <w:autoSpaceDE w:val="0"/>
        <w:autoSpaceDN w:val="0"/>
        <w:spacing w:line="333" w:lineRule="auto"/>
        <w:rPr>
          <w:rFonts w:ascii="仿宋" w:hAnsi="仿宋" w:eastAsia="仿宋" w:cs="仿宋"/>
          <w:kern w:val="0"/>
          <w:sz w:val="32"/>
          <w:szCs w:val="32"/>
          <w:lang w:bidi="zh-CN"/>
        </w:rPr>
      </w:pPr>
      <w:r>
        <w:rPr>
          <w:rFonts w:ascii="仿宋" w:hAnsi="仿宋" w:eastAsia="仿宋" w:cs="仿宋"/>
          <w:kern w:val="0"/>
          <w:sz w:val="32"/>
          <w:szCs w:val="32"/>
          <w:lang w:bidi="zh-CN"/>
        </w:rPr>
        <w:t xml:space="preserve">    （四）鼓励因地制宜，按需配建换电基础设施，加快探索换电服务模式应用发展。</w:t>
      </w:r>
    </w:p>
    <w:p>
      <w:pPr>
        <w:pStyle w:val="9"/>
        <w:overflowPunct w:val="0"/>
        <w:autoSpaceDE w:val="0"/>
        <w:autoSpaceDN w:val="0"/>
        <w:spacing w:line="333" w:lineRule="auto"/>
        <w:rPr>
          <w:rFonts w:ascii="仿宋" w:hAnsi="仿宋" w:eastAsia="仿宋" w:cs="仿宋"/>
          <w:kern w:val="0"/>
          <w:sz w:val="32"/>
          <w:szCs w:val="32"/>
          <w:lang w:bidi="zh-CN"/>
        </w:rPr>
      </w:pPr>
      <w:r>
        <w:rPr>
          <w:sz w:val="32"/>
          <w:szCs w:val="32"/>
        </w:rPr>
        <w:t>　　</w:t>
      </w:r>
      <w:r>
        <w:rPr>
          <w:rFonts w:ascii="仿宋" w:hAnsi="仿宋" w:eastAsia="仿宋" w:cs="仿宋"/>
          <w:b/>
          <w:bCs/>
          <w:kern w:val="0"/>
          <w:sz w:val="32"/>
          <w:szCs w:val="32"/>
          <w:lang w:bidi="zh-CN"/>
        </w:rPr>
        <w:t>第五条</w:t>
      </w:r>
      <w:r>
        <w:rPr>
          <w:rFonts w:ascii="仿宋" w:hAnsi="仿宋" w:eastAsia="仿宋" w:cs="仿宋"/>
          <w:kern w:val="0"/>
          <w:sz w:val="32"/>
          <w:szCs w:val="32"/>
          <w:lang w:bidi="zh-CN"/>
        </w:rPr>
        <w:t xml:space="preserve"> 新建</w:t>
      </w:r>
      <w:r>
        <w:rPr>
          <w:rFonts w:hint="eastAsia" w:ascii="仿宋" w:hAnsi="仿宋" w:eastAsia="仿宋" w:cs="仿宋"/>
          <w:kern w:val="0"/>
          <w:sz w:val="32"/>
          <w:szCs w:val="32"/>
          <w:lang w:bidi="zh-CN"/>
        </w:rPr>
        <w:t>小区要按照固定车位</w:t>
      </w:r>
      <w:r>
        <w:rPr>
          <w:rFonts w:ascii="仿宋" w:hAnsi="仿宋" w:eastAsia="仿宋" w:cs="仿宋"/>
          <w:kern w:val="0"/>
          <w:sz w:val="32"/>
          <w:szCs w:val="32"/>
          <w:lang w:bidi="zh-CN"/>
        </w:rPr>
        <w:t>100%</w:t>
      </w:r>
      <w:r>
        <w:rPr>
          <w:rFonts w:hint="eastAsia" w:ascii="仿宋" w:hAnsi="仿宋" w:eastAsia="仿宋" w:cs="仿宋"/>
          <w:kern w:val="0"/>
          <w:sz w:val="32"/>
          <w:szCs w:val="32"/>
          <w:lang w:bidi="zh-CN"/>
        </w:rPr>
        <w:t>、公共车位不低于20%的比例</w:t>
      </w:r>
      <w:r>
        <w:rPr>
          <w:rFonts w:ascii="仿宋" w:hAnsi="仿宋" w:eastAsia="仿宋" w:cs="仿宋"/>
          <w:kern w:val="0"/>
          <w:sz w:val="32"/>
          <w:szCs w:val="32"/>
          <w:lang w:bidi="zh-CN"/>
        </w:rPr>
        <w:t>预留</w:t>
      </w:r>
      <w:r>
        <w:rPr>
          <w:rFonts w:hint="eastAsia" w:ascii="仿宋" w:hAnsi="仿宋" w:eastAsia="仿宋" w:cs="仿宋"/>
          <w:kern w:val="0"/>
          <w:sz w:val="32"/>
          <w:szCs w:val="32"/>
          <w:lang w:bidi="zh-CN"/>
        </w:rPr>
        <w:t>充电桩</w:t>
      </w:r>
      <w:r>
        <w:rPr>
          <w:rFonts w:ascii="仿宋" w:hAnsi="仿宋" w:eastAsia="仿宋" w:cs="仿宋"/>
          <w:kern w:val="0"/>
          <w:sz w:val="32"/>
          <w:szCs w:val="32"/>
          <w:lang w:bidi="zh-CN"/>
        </w:rPr>
        <w:t>建设安装条件</w:t>
      </w:r>
      <w:r>
        <w:rPr>
          <w:rFonts w:hint="eastAsia" w:ascii="仿宋" w:hAnsi="仿宋" w:eastAsia="仿宋" w:cs="仿宋"/>
          <w:kern w:val="0"/>
          <w:sz w:val="32"/>
          <w:szCs w:val="32"/>
          <w:lang w:bidi="zh-CN"/>
        </w:rPr>
        <w:t>，可将管线和桥架等供电设施建设到车位，以满足直接装表接电需要。</w:t>
      </w:r>
      <w:r>
        <w:rPr>
          <w:rFonts w:ascii="仿宋" w:hAnsi="仿宋" w:eastAsia="仿宋" w:cs="仿宋"/>
          <w:kern w:val="0"/>
          <w:sz w:val="32"/>
          <w:szCs w:val="32"/>
          <w:lang w:bidi="zh-CN"/>
        </w:rPr>
        <w:t>新建大于2万平方米的商场、宾馆、医院、办公楼等大型公共建筑配建停车场以及独立用地的公共停车场、驻车换乘（P+R）停车场建设充电设施或预留建设安装条件（包括电力管线预埋和电力容量预留）的车位比例不低于10%。</w:t>
      </w:r>
    </w:p>
    <w:p>
      <w:pPr>
        <w:pStyle w:val="9"/>
        <w:overflowPunct w:val="0"/>
        <w:autoSpaceDE w:val="0"/>
        <w:autoSpaceDN w:val="0"/>
        <w:spacing w:line="333" w:lineRule="auto"/>
        <w:rPr>
          <w:rFonts w:ascii="仿宋" w:hAnsi="仿宋" w:eastAsia="仿宋"/>
          <w:color w:val="000000"/>
          <w:sz w:val="32"/>
        </w:rPr>
      </w:pPr>
      <w:r>
        <w:rPr>
          <w:sz w:val="32"/>
          <w:szCs w:val="32"/>
        </w:rPr>
        <w:t>　　</w:t>
      </w:r>
      <w:r>
        <w:rPr>
          <w:rFonts w:ascii="仿宋" w:hAnsi="仿宋" w:eastAsia="仿宋" w:cs="仿宋"/>
          <w:b/>
          <w:bCs/>
          <w:kern w:val="0"/>
          <w:sz w:val="32"/>
          <w:szCs w:val="32"/>
          <w:lang w:bidi="zh-CN"/>
        </w:rPr>
        <w:t>第六条</w:t>
      </w:r>
      <w:r>
        <w:rPr>
          <w:rFonts w:ascii="仿宋" w:hAnsi="仿宋" w:eastAsia="仿宋" w:cs="仿宋"/>
          <w:kern w:val="0"/>
          <w:sz w:val="32"/>
          <w:szCs w:val="32"/>
          <w:lang w:bidi="zh-CN"/>
        </w:rPr>
        <w:t xml:space="preserve"> 对于已建住宅小区、交通枢纽、超市商场、商务楼宇，党政机关、事业单位办公场所，以及园区、学校，公共停车场、道路停车位等场所，可以结合旧区改造、停车位改建、道路改建等情况建设充电基础设施。</w:t>
      </w:r>
    </w:p>
    <w:p>
      <w:pPr>
        <w:pStyle w:val="9"/>
        <w:overflowPunct w:val="0"/>
        <w:autoSpaceDE w:val="0"/>
        <w:autoSpaceDN w:val="0"/>
        <w:spacing w:line="333" w:lineRule="auto"/>
        <w:ind w:firstLine="643" w:firstLineChars="200"/>
        <w:rPr>
          <w:rStyle w:val="8"/>
          <w:rFonts w:ascii="宋体" w:hAnsi="宋体"/>
          <w:sz w:val="32"/>
          <w:szCs w:val="32"/>
        </w:rPr>
      </w:pPr>
      <w:r>
        <w:rPr>
          <w:rStyle w:val="8"/>
          <w:rFonts w:ascii="宋体" w:hAnsi="宋体"/>
          <w:sz w:val="32"/>
          <w:szCs w:val="32"/>
        </w:rPr>
        <w:t>第三章 建设主体</w:t>
      </w:r>
    </w:p>
    <w:p>
      <w:pPr>
        <w:pStyle w:val="9"/>
        <w:overflowPunct w:val="0"/>
        <w:autoSpaceDE w:val="0"/>
        <w:autoSpaceDN w:val="0"/>
        <w:spacing w:line="333" w:lineRule="auto"/>
        <w:ind w:firstLine="643" w:firstLineChars="200"/>
        <w:rPr>
          <w:rFonts w:ascii="仿宋" w:hAnsi="仿宋" w:eastAsia="仿宋" w:cs="仿宋"/>
          <w:kern w:val="0"/>
          <w:sz w:val="32"/>
          <w:szCs w:val="32"/>
          <w:lang w:bidi="zh-CN"/>
        </w:rPr>
      </w:pPr>
      <w:r>
        <w:rPr>
          <w:rFonts w:ascii="仿宋" w:hAnsi="仿宋" w:eastAsia="仿宋" w:cs="仿宋"/>
          <w:b/>
          <w:bCs/>
          <w:kern w:val="0"/>
          <w:sz w:val="32"/>
          <w:szCs w:val="32"/>
          <w:lang w:bidi="zh-CN"/>
        </w:rPr>
        <w:t>第七条</w:t>
      </w:r>
      <w:r>
        <w:rPr>
          <w:rFonts w:ascii="仿宋" w:hAnsi="仿宋" w:eastAsia="仿宋" w:cs="仿宋"/>
          <w:kern w:val="0"/>
          <w:sz w:val="32"/>
          <w:szCs w:val="32"/>
          <w:lang w:bidi="zh-CN"/>
        </w:rPr>
        <w:t xml:space="preserve"> 鼓励电动汽车生产企业(4S店)将充电设施建设维护纳入其销售服务体系，与私人用户签订销售车辆合同之前，可自行或委托充电设施建设经营企业为用户在住宅小区或办公场所落实一处自用或专用充电设施。</w:t>
      </w:r>
    </w:p>
    <w:p>
      <w:pPr>
        <w:pStyle w:val="9"/>
        <w:overflowPunct w:val="0"/>
        <w:autoSpaceDE w:val="0"/>
        <w:autoSpaceDN w:val="0"/>
        <w:spacing w:line="333" w:lineRule="auto"/>
        <w:ind w:firstLine="640" w:firstLineChars="200"/>
        <w:rPr>
          <w:rFonts w:ascii="仿宋" w:hAnsi="仿宋" w:eastAsia="仿宋" w:cs="仿宋"/>
          <w:kern w:val="0"/>
          <w:sz w:val="32"/>
          <w:szCs w:val="32"/>
          <w:lang w:bidi="zh-CN"/>
        </w:rPr>
      </w:pPr>
      <w:r>
        <w:rPr>
          <w:rFonts w:ascii="仿宋" w:hAnsi="仿宋" w:eastAsia="仿宋" w:cs="仿宋"/>
          <w:kern w:val="0"/>
          <w:sz w:val="32"/>
          <w:szCs w:val="32"/>
          <w:lang w:bidi="zh-CN"/>
        </w:rPr>
        <w:t>用户可通过购买或租用充电设施等方式获得充电服务，购买即获得充电设施的所有权，租用即拥有充电设施的使用权。</w:t>
      </w:r>
    </w:p>
    <w:p>
      <w:pPr>
        <w:pStyle w:val="9"/>
        <w:overflowPunct w:val="0"/>
        <w:autoSpaceDE w:val="0"/>
        <w:autoSpaceDN w:val="0"/>
        <w:spacing w:line="333" w:lineRule="auto"/>
        <w:ind w:firstLine="643" w:firstLineChars="200"/>
        <w:rPr>
          <w:rFonts w:ascii="仿宋" w:hAnsi="仿宋" w:eastAsia="仿宋" w:cs="仿宋"/>
          <w:kern w:val="0"/>
          <w:sz w:val="32"/>
          <w:szCs w:val="32"/>
          <w:lang w:bidi="zh-CN"/>
        </w:rPr>
      </w:pPr>
      <w:r>
        <w:rPr>
          <w:rFonts w:ascii="仿宋" w:hAnsi="仿宋" w:eastAsia="仿宋" w:cs="仿宋"/>
          <w:b/>
          <w:bCs/>
          <w:kern w:val="0"/>
          <w:sz w:val="32"/>
          <w:szCs w:val="32"/>
          <w:lang w:bidi="zh-CN"/>
        </w:rPr>
        <w:t>第八条</w:t>
      </w:r>
      <w:r>
        <w:rPr>
          <w:rFonts w:ascii="仿宋" w:hAnsi="仿宋" w:eastAsia="仿宋" w:cs="仿宋"/>
          <w:kern w:val="0"/>
          <w:sz w:val="32"/>
          <w:szCs w:val="32"/>
          <w:lang w:bidi="zh-CN"/>
        </w:rPr>
        <w:t xml:space="preserve"> </w:t>
      </w:r>
      <w:r>
        <w:rPr>
          <w:rFonts w:hint="eastAsia" w:ascii="仿宋" w:hAnsi="仿宋" w:eastAsia="仿宋" w:cs="仿宋"/>
          <w:kern w:val="0"/>
          <w:sz w:val="32"/>
          <w:szCs w:val="32"/>
          <w:lang w:bidi="zh-CN"/>
        </w:rPr>
        <w:t>鼓励电动汽车生产企业（4S店）及充电设施建设经营企业依法经全体业主同意，在住宅小区公共停车位上建设充电设施为业主提供服务。</w:t>
      </w:r>
    </w:p>
    <w:p>
      <w:pPr>
        <w:pStyle w:val="9"/>
        <w:overflowPunct w:val="0"/>
        <w:autoSpaceDE w:val="0"/>
        <w:autoSpaceDN w:val="0"/>
        <w:spacing w:line="333" w:lineRule="auto"/>
        <w:ind w:firstLine="643" w:firstLineChars="200"/>
        <w:rPr>
          <w:rFonts w:ascii="仿宋" w:hAnsi="仿宋" w:eastAsia="仿宋" w:cs="仿宋"/>
          <w:kern w:val="0"/>
          <w:sz w:val="32"/>
          <w:szCs w:val="32"/>
          <w:lang w:bidi="zh-CN"/>
        </w:rPr>
      </w:pPr>
      <w:r>
        <w:rPr>
          <w:rFonts w:ascii="仿宋" w:hAnsi="仿宋" w:eastAsia="仿宋" w:cs="仿宋"/>
          <w:b/>
          <w:bCs/>
          <w:kern w:val="0"/>
          <w:sz w:val="32"/>
          <w:szCs w:val="32"/>
          <w:lang w:bidi="zh-CN"/>
        </w:rPr>
        <w:t>第九条</w:t>
      </w:r>
      <w:r>
        <w:rPr>
          <w:rFonts w:ascii="仿宋" w:hAnsi="仿宋" w:eastAsia="仿宋" w:cs="仿宋"/>
          <w:kern w:val="0"/>
          <w:sz w:val="32"/>
          <w:szCs w:val="32"/>
          <w:lang w:bidi="zh-CN"/>
        </w:rPr>
        <w:t xml:space="preserve"> 鼓励电网企业、电动汽车生产企业(4S店)及充电设施建设经营企业在商业、办公、娱乐、体育、公共停车场、高速公路服务区等场所建设专用、公用充电设施和换电设施。</w:t>
      </w:r>
    </w:p>
    <w:p>
      <w:pPr>
        <w:pStyle w:val="9"/>
        <w:overflowPunct w:val="0"/>
        <w:autoSpaceDE w:val="0"/>
        <w:autoSpaceDN w:val="0"/>
        <w:spacing w:line="333" w:lineRule="auto"/>
        <w:ind w:firstLine="660"/>
        <w:rPr>
          <w:rFonts w:ascii="仿宋" w:hAnsi="仿宋" w:eastAsia="仿宋" w:cs="仿宋"/>
          <w:kern w:val="0"/>
          <w:sz w:val="32"/>
          <w:szCs w:val="32"/>
          <w:lang w:bidi="zh-CN"/>
        </w:rPr>
      </w:pPr>
      <w:r>
        <w:rPr>
          <w:rFonts w:ascii="仿宋" w:hAnsi="仿宋" w:eastAsia="仿宋" w:cs="仿宋"/>
          <w:kern w:val="0"/>
          <w:sz w:val="32"/>
          <w:szCs w:val="32"/>
          <w:lang w:bidi="zh-CN"/>
        </w:rPr>
        <w:t>建筑物业主也可通过自建或委托代建方式建设专用、公用充换电设施。</w:t>
      </w:r>
    </w:p>
    <w:p>
      <w:pPr>
        <w:pStyle w:val="9"/>
        <w:overflowPunct w:val="0"/>
        <w:autoSpaceDE w:val="0"/>
        <w:autoSpaceDN w:val="0"/>
        <w:spacing w:line="333" w:lineRule="auto"/>
        <w:ind w:firstLine="650"/>
        <w:rPr>
          <w:rFonts w:ascii="仿宋" w:hAnsi="仿宋" w:eastAsia="仿宋" w:cs="仿宋"/>
          <w:kern w:val="0"/>
          <w:sz w:val="32"/>
          <w:szCs w:val="32"/>
          <w:lang w:bidi="zh-CN"/>
        </w:rPr>
      </w:pPr>
      <w:r>
        <w:rPr>
          <w:rFonts w:ascii="仿宋" w:hAnsi="仿宋" w:eastAsia="仿宋" w:cs="仿宋"/>
          <w:b/>
          <w:bCs/>
          <w:kern w:val="0"/>
          <w:sz w:val="32"/>
          <w:szCs w:val="32"/>
          <w:lang w:bidi="zh-CN"/>
        </w:rPr>
        <w:t>第十条</w:t>
      </w:r>
      <w:r>
        <w:rPr>
          <w:rFonts w:ascii="仿宋" w:hAnsi="仿宋" w:eastAsia="仿宋" w:cs="仿宋"/>
          <w:kern w:val="0"/>
          <w:sz w:val="32"/>
          <w:szCs w:val="32"/>
          <w:lang w:bidi="zh-CN"/>
        </w:rPr>
        <w:t xml:space="preserve"> 鼓励电力企业、成品油零售经营企业、电动汽车生产企业(4S店)、电池制造商、第三方运营商等单位发挥技术、管理、资金、服务网络等方面的优势，也可通过政府和社会资本合作（PPP）模式，组建专业的充换电设施建设经营企业，参与充换电基础设施体系建设运营。</w:t>
      </w:r>
    </w:p>
    <w:p>
      <w:pPr>
        <w:pStyle w:val="9"/>
        <w:overflowPunct w:val="0"/>
        <w:autoSpaceDE w:val="0"/>
        <w:autoSpaceDN w:val="0"/>
        <w:spacing w:line="333" w:lineRule="auto"/>
        <w:rPr>
          <w:rStyle w:val="8"/>
          <w:rFonts w:ascii="宋体" w:hAnsi="宋体"/>
          <w:sz w:val="32"/>
          <w:szCs w:val="32"/>
        </w:rPr>
      </w:pPr>
      <w:r>
        <w:rPr>
          <w:sz w:val="32"/>
          <w:szCs w:val="32"/>
        </w:rPr>
        <w:t>　　</w:t>
      </w:r>
      <w:r>
        <w:rPr>
          <w:rStyle w:val="8"/>
          <w:rFonts w:ascii="宋体" w:hAnsi="宋体"/>
          <w:sz w:val="32"/>
          <w:szCs w:val="32"/>
        </w:rPr>
        <w:t>第四章 建设管理</w:t>
      </w:r>
    </w:p>
    <w:p>
      <w:pPr>
        <w:pStyle w:val="9"/>
        <w:overflowPunct w:val="0"/>
        <w:autoSpaceDE w:val="0"/>
        <w:autoSpaceDN w:val="0"/>
        <w:spacing w:line="333" w:lineRule="auto"/>
        <w:rPr>
          <w:rFonts w:ascii="仿宋" w:hAnsi="仿宋" w:eastAsia="仿宋" w:cs="仿宋"/>
          <w:kern w:val="0"/>
          <w:sz w:val="32"/>
          <w:szCs w:val="32"/>
          <w:lang w:bidi="zh-CN"/>
        </w:rPr>
      </w:pPr>
      <w:r>
        <w:rPr>
          <w:sz w:val="32"/>
          <w:szCs w:val="32"/>
        </w:rPr>
        <w:t>　　</w:t>
      </w:r>
      <w:r>
        <w:rPr>
          <w:rFonts w:ascii="仿宋" w:hAnsi="仿宋" w:eastAsia="仿宋" w:cs="仿宋"/>
          <w:b/>
          <w:bCs/>
          <w:kern w:val="0"/>
          <w:sz w:val="32"/>
          <w:szCs w:val="32"/>
          <w:lang w:bidi="zh-CN"/>
        </w:rPr>
        <w:t>第十一条</w:t>
      </w:r>
      <w:r>
        <w:rPr>
          <w:rFonts w:ascii="仿宋" w:hAnsi="仿宋" w:eastAsia="仿宋" w:cs="仿宋"/>
          <w:kern w:val="0"/>
          <w:sz w:val="32"/>
          <w:szCs w:val="32"/>
          <w:lang w:bidi="zh-CN"/>
        </w:rPr>
        <w:t xml:space="preserve"> 私人用户在自有车库、停车位建设自用充电设施，按照全国统一的私人用户居住地充电基础设施建设管理示范文本要求，办理报装手续。充电设施安装基础应为不燃构件，充电设施安装不得影响停车场整体功能使用，不得影响消防车通行、登高作业和人员疏散逃生。</w:t>
      </w:r>
    </w:p>
    <w:p>
      <w:pPr>
        <w:pStyle w:val="9"/>
        <w:ind w:firstLine="630"/>
        <w:rPr>
          <w:rFonts w:ascii="仿宋" w:hAnsi="仿宋" w:eastAsia="仿宋"/>
          <w:color w:val="000000"/>
          <w:sz w:val="32"/>
        </w:rPr>
      </w:pPr>
      <w:r>
        <w:rPr>
          <w:rFonts w:ascii="仿宋" w:hAnsi="仿宋" w:eastAsia="仿宋" w:cs="仿宋"/>
          <w:b/>
          <w:bCs/>
          <w:sz w:val="32"/>
          <w:szCs w:val="32"/>
        </w:rPr>
        <w:t>第十二条</w:t>
      </w:r>
      <w:r>
        <w:rPr>
          <w:sz w:val="32"/>
          <w:szCs w:val="32"/>
        </w:rPr>
        <w:t xml:space="preserve"> </w:t>
      </w:r>
      <w:r>
        <w:rPr>
          <w:rFonts w:ascii="仿宋" w:hAnsi="仿宋" w:eastAsia="仿宋" w:cs="仿宋"/>
          <w:kern w:val="0"/>
          <w:sz w:val="32"/>
          <w:szCs w:val="32"/>
          <w:lang w:bidi="zh-CN"/>
        </w:rPr>
        <w:t>居住区或单位在既有停车位安装以及利用现有公共停车场新建专用充电设施和</w:t>
      </w:r>
      <w:r>
        <w:rPr>
          <w:rFonts w:ascii="仿宋" w:hAnsi="仿宋" w:eastAsia="仿宋"/>
          <w:color w:val="000000"/>
          <w:sz w:val="32"/>
        </w:rPr>
        <w:t>新建独立占地的公用充换电站、充电桩群及可移动小型充换电设施，项目单位向所在地的发展改革部门申请备案。</w:t>
      </w:r>
    </w:p>
    <w:p>
      <w:pPr>
        <w:pStyle w:val="9"/>
        <w:ind w:firstLine="630"/>
        <w:rPr>
          <w:rFonts w:ascii="仿宋" w:hAnsi="仿宋" w:eastAsia="仿宋" w:cs="仿宋"/>
          <w:sz w:val="32"/>
          <w:szCs w:val="32"/>
        </w:rPr>
      </w:pPr>
      <w:r>
        <w:rPr>
          <w:rFonts w:hint="eastAsia" w:ascii="仿宋" w:hAnsi="仿宋" w:eastAsia="仿宋"/>
          <w:sz w:val="32"/>
        </w:rPr>
        <w:t>新建独立占地的公用充换电站、充电桩群项目应符合国土空间规划，并在本地电动汽车充电基础设施发展规划桩站目标量控制范围</w:t>
      </w:r>
      <w:r>
        <w:rPr>
          <w:rFonts w:ascii="仿宋" w:hAnsi="仿宋" w:eastAsia="仿宋" w:cs="仿宋"/>
          <w:sz w:val="32"/>
          <w:szCs w:val="32"/>
        </w:rPr>
        <w:t>内。</w:t>
      </w:r>
    </w:p>
    <w:p>
      <w:pPr>
        <w:pStyle w:val="9"/>
        <w:ind w:firstLine="630"/>
        <w:rPr>
          <w:rFonts w:ascii="仿宋" w:hAnsi="仿宋" w:eastAsia="仿宋" w:cs="仿宋"/>
          <w:color w:val="FF0000"/>
          <w:kern w:val="0"/>
          <w:sz w:val="32"/>
          <w:szCs w:val="32"/>
          <w:lang w:bidi="zh-CN"/>
        </w:rPr>
      </w:pPr>
      <w:r>
        <w:rPr>
          <w:rFonts w:ascii="仿宋" w:hAnsi="仿宋" w:eastAsia="仿宋" w:cs="仿宋"/>
          <w:b/>
          <w:bCs/>
          <w:kern w:val="0"/>
          <w:sz w:val="32"/>
          <w:szCs w:val="32"/>
          <w:lang w:bidi="zh-CN"/>
        </w:rPr>
        <w:t>第十三条</w:t>
      </w:r>
      <w:r>
        <w:rPr>
          <w:rFonts w:ascii="仿宋" w:hAnsi="仿宋" w:eastAsia="仿宋" w:cs="仿宋"/>
          <w:kern w:val="0"/>
          <w:sz w:val="32"/>
          <w:szCs w:val="32"/>
          <w:lang w:bidi="zh-CN"/>
        </w:rPr>
        <w:t xml:space="preserve"> 充换电设施建设经营企业</w:t>
      </w:r>
      <w:r>
        <w:rPr>
          <w:rFonts w:hint="eastAsia" w:ascii="仿宋" w:hAnsi="仿宋" w:eastAsia="仿宋" w:cs="仿宋"/>
          <w:kern w:val="0"/>
          <w:sz w:val="32"/>
          <w:szCs w:val="32"/>
          <w:lang w:bidi="zh-CN"/>
        </w:rPr>
        <w:t>必须具备电动汽车充换电设施建设运营许可，并配备相应数量的专业化人员。</w:t>
      </w:r>
      <w:r>
        <w:rPr>
          <w:rFonts w:ascii="仿宋" w:hAnsi="仿宋" w:eastAsia="仿宋" w:cs="仿宋"/>
          <w:kern w:val="0"/>
          <w:sz w:val="32"/>
          <w:szCs w:val="32"/>
          <w:lang w:bidi="zh-CN"/>
        </w:rPr>
        <w:t>在</w:t>
      </w:r>
      <w:r>
        <w:rPr>
          <w:rFonts w:hint="eastAsia" w:ascii="仿宋" w:hAnsi="仿宋" w:eastAsia="仿宋" w:cs="仿宋"/>
          <w:kern w:val="0"/>
          <w:sz w:val="32"/>
          <w:szCs w:val="32"/>
          <w:lang w:bidi="zh-CN"/>
        </w:rPr>
        <w:t>项目</w:t>
      </w:r>
      <w:r>
        <w:rPr>
          <w:rFonts w:ascii="仿宋" w:hAnsi="仿宋" w:eastAsia="仿宋" w:cs="仿宋"/>
          <w:kern w:val="0"/>
          <w:sz w:val="32"/>
          <w:szCs w:val="32"/>
          <w:lang w:bidi="zh-CN"/>
        </w:rPr>
        <w:t>开工建设前通过在线平台将下列信息告知备案机关。</w:t>
      </w:r>
    </w:p>
    <w:p>
      <w:pPr>
        <w:pStyle w:val="9"/>
        <w:ind w:firstLine="645"/>
        <w:rPr>
          <w:rFonts w:ascii="仿宋" w:hAnsi="仿宋" w:eastAsia="仿宋" w:cs="仿宋"/>
          <w:kern w:val="0"/>
          <w:sz w:val="32"/>
          <w:szCs w:val="32"/>
          <w:lang w:bidi="zh-CN"/>
        </w:rPr>
      </w:pPr>
      <w:r>
        <w:rPr>
          <w:rFonts w:ascii="仿宋" w:hAnsi="仿宋" w:eastAsia="仿宋" w:cs="仿宋"/>
          <w:kern w:val="0"/>
          <w:sz w:val="32"/>
          <w:szCs w:val="32"/>
          <w:lang w:bidi="zh-CN"/>
        </w:rPr>
        <w:t>（一）企业基本情况；</w:t>
      </w:r>
    </w:p>
    <w:p>
      <w:pPr>
        <w:pStyle w:val="9"/>
        <w:ind w:firstLine="645"/>
        <w:rPr>
          <w:rFonts w:ascii="仿宋" w:hAnsi="仿宋" w:eastAsia="仿宋" w:cs="仿宋"/>
          <w:kern w:val="0"/>
          <w:sz w:val="32"/>
          <w:szCs w:val="32"/>
          <w:lang w:bidi="zh-CN"/>
        </w:rPr>
      </w:pPr>
      <w:r>
        <w:rPr>
          <w:sz w:val="32"/>
          <w:szCs w:val="32"/>
        </w:rPr>
        <w:t>（二）</w:t>
      </w:r>
      <w:r>
        <w:rPr>
          <w:rFonts w:ascii="仿宋" w:hAnsi="仿宋" w:eastAsia="仿宋" w:cs="仿宋"/>
          <w:kern w:val="0"/>
          <w:sz w:val="32"/>
          <w:szCs w:val="32"/>
          <w:lang w:bidi="zh-CN"/>
        </w:rPr>
        <w:t>项目名称、建设地点、建设规模、建设内容；</w:t>
      </w:r>
    </w:p>
    <w:p>
      <w:pPr>
        <w:pStyle w:val="9"/>
        <w:ind w:firstLine="645"/>
      </w:pPr>
      <w:r>
        <w:rPr>
          <w:rFonts w:ascii="仿宋" w:hAnsi="仿宋" w:eastAsia="仿宋" w:cs="仿宋"/>
          <w:kern w:val="0"/>
          <w:sz w:val="32"/>
          <w:szCs w:val="32"/>
          <w:lang w:bidi="zh-CN"/>
        </w:rPr>
        <w:t>（三）项目总投资额；</w:t>
      </w:r>
    </w:p>
    <w:p>
      <w:pPr>
        <w:pStyle w:val="9"/>
        <w:overflowPunct w:val="0"/>
        <w:autoSpaceDE w:val="0"/>
        <w:autoSpaceDN w:val="0"/>
        <w:spacing w:line="333" w:lineRule="auto"/>
        <w:ind w:firstLine="630"/>
        <w:rPr>
          <w:rFonts w:ascii="仿宋" w:hAnsi="仿宋" w:eastAsia="仿宋" w:cs="仿宋"/>
          <w:color w:val="FF0000"/>
          <w:kern w:val="0"/>
          <w:sz w:val="32"/>
          <w:szCs w:val="32"/>
          <w:lang w:bidi="zh-CN"/>
        </w:rPr>
      </w:pPr>
      <w:r>
        <w:rPr>
          <w:rFonts w:ascii="仿宋" w:hAnsi="仿宋" w:eastAsia="仿宋" w:cs="仿宋"/>
          <w:kern w:val="0"/>
          <w:sz w:val="32"/>
          <w:szCs w:val="32"/>
          <w:lang w:bidi="zh-CN"/>
        </w:rPr>
        <w:t>（四）项目符合产业政策及所提供信息真实性的声明。</w:t>
      </w:r>
      <w:r>
        <w:rPr>
          <w:rFonts w:ascii="仿宋" w:hAnsi="仿宋" w:eastAsia="仿宋" w:cs="仿宋"/>
          <w:color w:val="FF0000"/>
          <w:kern w:val="0"/>
          <w:sz w:val="32"/>
          <w:szCs w:val="32"/>
          <w:lang w:bidi="zh-CN"/>
        </w:rPr>
        <w:t xml:space="preserve">    </w:t>
      </w:r>
    </w:p>
    <w:p>
      <w:pPr>
        <w:pStyle w:val="9"/>
        <w:overflowPunct w:val="0"/>
        <w:autoSpaceDE w:val="0"/>
        <w:autoSpaceDN w:val="0"/>
        <w:spacing w:line="333" w:lineRule="auto"/>
        <w:ind w:firstLine="630"/>
        <w:rPr>
          <w:rFonts w:ascii="仿宋" w:hAnsi="仿宋" w:eastAsia="仿宋" w:cs="仿宋"/>
          <w:kern w:val="0"/>
          <w:sz w:val="32"/>
          <w:szCs w:val="32"/>
          <w:lang w:bidi="zh-CN"/>
        </w:rPr>
      </w:pPr>
      <w:r>
        <w:rPr>
          <w:rFonts w:ascii="仿宋" w:hAnsi="仿宋" w:eastAsia="仿宋" w:cs="仿宋"/>
          <w:b/>
          <w:bCs/>
          <w:kern w:val="0"/>
          <w:sz w:val="32"/>
          <w:szCs w:val="32"/>
          <w:lang w:bidi="zh-CN"/>
        </w:rPr>
        <w:t>第十四条</w:t>
      </w:r>
      <w:r>
        <w:rPr>
          <w:rFonts w:ascii="仿宋" w:hAnsi="仿宋" w:eastAsia="仿宋" w:cs="仿宋"/>
          <w:kern w:val="0"/>
          <w:sz w:val="32"/>
          <w:szCs w:val="32"/>
          <w:lang w:bidi="zh-CN"/>
        </w:rPr>
        <w:t xml:space="preserve"> 充换电设施正式投入使用前，所有权人（产权单位）应完成充电设施电气安全、</w:t>
      </w:r>
      <w:r>
        <w:rPr>
          <w:rFonts w:hint="eastAsia" w:ascii="仿宋" w:hAnsi="仿宋" w:eastAsia="仿宋" w:cs="仿宋"/>
          <w:kern w:val="0"/>
          <w:sz w:val="32"/>
          <w:szCs w:val="32"/>
          <w:lang w:bidi="zh-CN"/>
        </w:rPr>
        <w:t>消防设施、</w:t>
      </w:r>
      <w:r>
        <w:rPr>
          <w:rFonts w:ascii="仿宋" w:hAnsi="仿宋" w:eastAsia="仿宋" w:cs="仿宋"/>
          <w:kern w:val="0"/>
          <w:sz w:val="32"/>
          <w:szCs w:val="32"/>
          <w:lang w:bidi="zh-CN"/>
        </w:rPr>
        <w:t>计量系统、电能质量等指标的验收，以及与整车充电接口、通信协议的一致性检测和调试。验收项目可参照国家有关部门关于充换电设施现场安全评估的有关要求。鼓励有关企业参加国家倡导的中国电动汽车充电基础设施促进联盟等行业组织开展的产品标识 (检测、认证 )评定等行业自律工作。</w:t>
      </w:r>
    </w:p>
    <w:p>
      <w:pPr>
        <w:pStyle w:val="9"/>
        <w:overflowPunct w:val="0"/>
        <w:autoSpaceDE w:val="0"/>
        <w:autoSpaceDN w:val="0"/>
        <w:spacing w:line="333" w:lineRule="auto"/>
        <w:ind w:firstLine="630"/>
        <w:rPr>
          <w:rFonts w:ascii="仿宋" w:hAnsi="仿宋" w:eastAsia="仿宋" w:cs="仿宋"/>
          <w:kern w:val="0"/>
          <w:sz w:val="32"/>
          <w:szCs w:val="32"/>
          <w:lang w:bidi="zh-CN"/>
        </w:rPr>
      </w:pPr>
      <w:r>
        <w:rPr>
          <w:rFonts w:ascii="仿宋" w:hAnsi="仿宋" w:eastAsia="仿宋" w:cs="仿宋"/>
          <w:b/>
          <w:bCs/>
          <w:kern w:val="0"/>
          <w:sz w:val="32"/>
          <w:szCs w:val="32"/>
          <w:lang w:bidi="zh-CN"/>
        </w:rPr>
        <w:t>第十五条</w:t>
      </w:r>
      <w:r>
        <w:rPr>
          <w:rFonts w:ascii="仿宋" w:hAnsi="仿宋" w:eastAsia="仿宋" w:cs="仿宋"/>
          <w:kern w:val="0"/>
          <w:sz w:val="32"/>
          <w:szCs w:val="32"/>
          <w:lang w:bidi="zh-CN"/>
        </w:rPr>
        <w:t xml:space="preserve"> 充换电设施及其设计、建设、使用应符合国家和行业统一标准，充换电设施运营企业</w:t>
      </w:r>
      <w:r>
        <w:rPr>
          <w:rFonts w:hint="eastAsia" w:ascii="仿宋" w:hAnsi="仿宋" w:eastAsia="仿宋" w:cs="仿宋"/>
          <w:kern w:val="0"/>
          <w:sz w:val="32"/>
          <w:szCs w:val="32"/>
          <w:lang w:bidi="zh-CN"/>
        </w:rPr>
        <w:t>应</w:t>
      </w:r>
      <w:r>
        <w:rPr>
          <w:rFonts w:ascii="仿宋" w:hAnsi="仿宋" w:eastAsia="仿宋" w:cs="仿宋"/>
          <w:kern w:val="0"/>
          <w:sz w:val="32"/>
          <w:szCs w:val="32"/>
          <w:lang w:bidi="zh-CN"/>
        </w:rPr>
        <w:t>根据新的国家或行业标准适时对充换电设施进行升级改造</w:t>
      </w:r>
      <w:r>
        <w:rPr>
          <w:rFonts w:hint="eastAsia" w:ascii="仿宋" w:hAnsi="仿宋" w:eastAsia="仿宋" w:cs="仿宋"/>
          <w:kern w:val="0"/>
          <w:sz w:val="32"/>
          <w:szCs w:val="32"/>
          <w:lang w:bidi="zh-CN"/>
        </w:rPr>
        <w:t>，</w:t>
      </w:r>
      <w:r>
        <w:rPr>
          <w:rFonts w:ascii="仿宋" w:hAnsi="仿宋" w:eastAsia="仿宋" w:cs="仿宋"/>
          <w:kern w:val="0"/>
          <w:sz w:val="32"/>
          <w:szCs w:val="32"/>
          <w:lang w:bidi="zh-CN"/>
        </w:rPr>
        <w:t>持续加强充换电设施设备质量检测、标识（检测、认证）评定以及安全管理。</w:t>
      </w:r>
    </w:p>
    <w:p>
      <w:pPr>
        <w:pStyle w:val="9"/>
        <w:overflowPunct w:val="0"/>
        <w:autoSpaceDE w:val="0"/>
        <w:autoSpaceDN w:val="0"/>
        <w:spacing w:line="333" w:lineRule="auto"/>
        <w:ind w:firstLine="630"/>
        <w:rPr>
          <w:rFonts w:ascii="仿宋" w:hAnsi="仿宋" w:eastAsia="仿宋" w:cs="仿宋"/>
          <w:kern w:val="0"/>
          <w:sz w:val="32"/>
          <w:szCs w:val="32"/>
          <w:lang w:bidi="zh-CN"/>
        </w:rPr>
      </w:pPr>
      <w:r>
        <w:rPr>
          <w:rFonts w:ascii="仿宋" w:hAnsi="仿宋" w:eastAsia="仿宋" w:cs="仿宋"/>
          <w:b/>
          <w:bCs/>
          <w:kern w:val="0"/>
          <w:sz w:val="32"/>
          <w:szCs w:val="32"/>
          <w:lang w:bidi="zh-CN"/>
        </w:rPr>
        <w:t>第十六条</w:t>
      </w:r>
      <w:r>
        <w:rPr>
          <w:rFonts w:ascii="仿宋" w:hAnsi="仿宋" w:eastAsia="仿宋" w:cs="仿宋"/>
          <w:kern w:val="0"/>
          <w:sz w:val="32"/>
          <w:szCs w:val="32"/>
          <w:lang w:bidi="zh-CN"/>
        </w:rPr>
        <w:t xml:space="preserve"> 充换电设施经营场所应按国家统一标准，配建完备的充换电设施标志，充换电交易应支持多种支付手段，并提供服务发票。</w:t>
      </w:r>
    </w:p>
    <w:p>
      <w:pPr>
        <w:pStyle w:val="9"/>
        <w:overflowPunct w:val="0"/>
        <w:autoSpaceDE w:val="0"/>
        <w:autoSpaceDN w:val="0"/>
        <w:spacing w:line="333" w:lineRule="auto"/>
        <w:ind w:firstLine="630"/>
        <w:rPr>
          <w:rFonts w:ascii="仿宋" w:hAnsi="仿宋" w:eastAsia="仿宋" w:cs="仿宋"/>
          <w:kern w:val="0"/>
          <w:sz w:val="32"/>
          <w:szCs w:val="32"/>
          <w:lang w:bidi="zh-CN"/>
        </w:rPr>
      </w:pPr>
      <w:r>
        <w:rPr>
          <w:rFonts w:ascii="仿宋" w:hAnsi="仿宋" w:eastAsia="仿宋" w:cs="仿宋"/>
          <w:b/>
          <w:bCs/>
          <w:kern w:val="0"/>
          <w:sz w:val="32"/>
          <w:szCs w:val="32"/>
          <w:lang w:bidi="zh-CN"/>
        </w:rPr>
        <w:t xml:space="preserve">第十七条 </w:t>
      </w:r>
      <w:r>
        <w:rPr>
          <w:rFonts w:ascii="仿宋" w:hAnsi="仿宋" w:eastAsia="仿宋" w:cs="仿宋"/>
          <w:kern w:val="0"/>
          <w:sz w:val="32"/>
          <w:szCs w:val="32"/>
          <w:lang w:bidi="zh-CN"/>
        </w:rPr>
        <w:t>专用、公用充电</w:t>
      </w:r>
      <w:r>
        <w:rPr>
          <w:rFonts w:hint="eastAsia" w:ascii="仿宋" w:hAnsi="仿宋" w:eastAsia="仿宋" w:cs="仿宋"/>
          <w:kern w:val="0"/>
          <w:sz w:val="32"/>
          <w:szCs w:val="32"/>
          <w:lang w:bidi="zh-CN"/>
        </w:rPr>
        <w:t>及换电</w:t>
      </w:r>
      <w:r>
        <w:rPr>
          <w:rFonts w:ascii="仿宋" w:hAnsi="仿宋" w:eastAsia="仿宋" w:cs="仿宋"/>
          <w:kern w:val="0"/>
          <w:sz w:val="32"/>
          <w:szCs w:val="32"/>
          <w:lang w:bidi="zh-CN"/>
        </w:rPr>
        <w:t>设施正式投入使用后应及时接入省级充</w:t>
      </w:r>
      <w:r>
        <w:rPr>
          <w:rFonts w:hint="eastAsia" w:ascii="仿宋" w:hAnsi="仿宋" w:eastAsia="仿宋" w:cs="仿宋"/>
          <w:kern w:val="0"/>
          <w:sz w:val="32"/>
          <w:szCs w:val="32"/>
          <w:lang w:bidi="zh-CN"/>
        </w:rPr>
        <w:t>换</w:t>
      </w:r>
      <w:r>
        <w:rPr>
          <w:rFonts w:ascii="仿宋" w:hAnsi="仿宋" w:eastAsia="仿宋" w:cs="仿宋"/>
          <w:kern w:val="0"/>
          <w:sz w:val="32"/>
          <w:szCs w:val="32"/>
          <w:lang w:bidi="zh-CN"/>
        </w:rPr>
        <w:t>电基础设施信息平台，将充电设施的充电量、充电时长等基础数据及实时运营信息上传至省平台，鼓励自用充电设施自愿接入省级充电基础设施信息平台。</w:t>
      </w:r>
    </w:p>
    <w:p>
      <w:pPr>
        <w:pStyle w:val="9"/>
        <w:overflowPunct w:val="0"/>
        <w:autoSpaceDE w:val="0"/>
        <w:autoSpaceDN w:val="0"/>
        <w:spacing w:line="333" w:lineRule="auto"/>
        <w:ind w:firstLine="630"/>
        <w:rPr>
          <w:rFonts w:ascii="仿宋" w:hAnsi="仿宋" w:eastAsia="仿宋" w:cs="仿宋"/>
          <w:kern w:val="0"/>
          <w:sz w:val="32"/>
          <w:szCs w:val="32"/>
          <w:lang w:bidi="zh-CN"/>
        </w:rPr>
      </w:pPr>
      <w:r>
        <w:rPr>
          <w:rFonts w:ascii="仿宋" w:hAnsi="仿宋" w:eastAsia="仿宋" w:cs="仿宋"/>
          <w:b/>
          <w:bCs/>
          <w:kern w:val="0"/>
          <w:sz w:val="32"/>
          <w:szCs w:val="32"/>
          <w:lang w:bidi="zh-CN"/>
        </w:rPr>
        <w:t>第十八条</w:t>
      </w:r>
      <w:r>
        <w:rPr>
          <w:rFonts w:ascii="仿宋" w:hAnsi="仿宋" w:eastAsia="仿宋" w:cs="仿宋"/>
          <w:kern w:val="0"/>
          <w:sz w:val="32"/>
          <w:szCs w:val="32"/>
          <w:lang w:bidi="zh-CN"/>
        </w:rPr>
        <w:t xml:space="preserve"> 充换电设施运营企业</w:t>
      </w:r>
      <w:r>
        <w:rPr>
          <w:rFonts w:hint="eastAsia" w:ascii="仿宋" w:hAnsi="仿宋" w:eastAsia="仿宋" w:cs="仿宋"/>
          <w:kern w:val="0"/>
          <w:sz w:val="32"/>
          <w:szCs w:val="32"/>
          <w:lang w:bidi="zh-CN"/>
        </w:rPr>
        <w:t>应恪守“诚实守信”原则，加强行业自律管理。退出运营市场时，应及时向省</w:t>
      </w:r>
      <w:r>
        <w:rPr>
          <w:rFonts w:ascii="仿宋" w:hAnsi="仿宋" w:eastAsia="仿宋" w:cs="仿宋"/>
          <w:kern w:val="0"/>
          <w:sz w:val="32"/>
          <w:szCs w:val="32"/>
          <w:lang w:bidi="zh-CN"/>
        </w:rPr>
        <w:t>级充</w:t>
      </w:r>
      <w:r>
        <w:rPr>
          <w:rFonts w:hint="eastAsia" w:ascii="仿宋" w:hAnsi="仿宋" w:eastAsia="仿宋" w:cs="仿宋"/>
          <w:kern w:val="0"/>
          <w:sz w:val="32"/>
          <w:szCs w:val="32"/>
          <w:lang w:bidi="zh-CN"/>
        </w:rPr>
        <w:t>换</w:t>
      </w:r>
      <w:r>
        <w:rPr>
          <w:rFonts w:ascii="仿宋" w:hAnsi="仿宋" w:eastAsia="仿宋" w:cs="仿宋"/>
          <w:kern w:val="0"/>
          <w:sz w:val="32"/>
          <w:szCs w:val="32"/>
          <w:lang w:bidi="zh-CN"/>
        </w:rPr>
        <w:t>电基础设施信息平台</w:t>
      </w:r>
      <w:r>
        <w:rPr>
          <w:rFonts w:hint="eastAsia" w:ascii="仿宋" w:hAnsi="仿宋" w:eastAsia="仿宋" w:cs="仿宋"/>
          <w:kern w:val="0"/>
          <w:sz w:val="32"/>
          <w:szCs w:val="32"/>
          <w:lang w:bidi="zh-CN"/>
        </w:rPr>
        <w:t>及当地备案主管部门报告。对管理不善、用户投诉较多、问题频出的运营企业实施强制退出机制。</w:t>
      </w:r>
    </w:p>
    <w:p>
      <w:pPr>
        <w:pStyle w:val="9"/>
        <w:overflowPunct w:val="0"/>
        <w:autoSpaceDE w:val="0"/>
        <w:autoSpaceDN w:val="0"/>
        <w:spacing w:line="333" w:lineRule="auto"/>
        <w:ind w:firstLine="643" w:firstLineChars="200"/>
        <w:rPr>
          <w:rStyle w:val="8"/>
          <w:rFonts w:ascii="宋体" w:hAnsi="宋体"/>
          <w:kern w:val="0"/>
          <w:sz w:val="32"/>
          <w:szCs w:val="32"/>
          <w:lang w:bidi="zh-CN"/>
        </w:rPr>
      </w:pPr>
      <w:r>
        <w:rPr>
          <w:rStyle w:val="8"/>
          <w:rFonts w:ascii="宋体" w:hAnsi="宋体"/>
          <w:kern w:val="0"/>
          <w:sz w:val="32"/>
          <w:szCs w:val="32"/>
          <w:lang w:bidi="zh-CN"/>
        </w:rPr>
        <w:t>第五章 职责分工</w:t>
      </w:r>
    </w:p>
    <w:p>
      <w:pPr>
        <w:pStyle w:val="9"/>
        <w:overflowPunct w:val="0"/>
        <w:autoSpaceDE w:val="0"/>
        <w:autoSpaceDN w:val="0"/>
        <w:spacing w:line="333" w:lineRule="auto"/>
        <w:ind w:firstLine="630"/>
        <w:rPr>
          <w:rFonts w:ascii="仿宋" w:hAnsi="仿宋" w:eastAsia="仿宋" w:cs="仿宋"/>
          <w:kern w:val="0"/>
          <w:sz w:val="32"/>
          <w:szCs w:val="32"/>
          <w:lang w:bidi="zh-CN"/>
        </w:rPr>
      </w:pPr>
      <w:r>
        <w:rPr>
          <w:rFonts w:ascii="仿宋" w:hAnsi="仿宋" w:eastAsia="仿宋" w:cs="仿宋"/>
          <w:b/>
          <w:bCs/>
          <w:kern w:val="0"/>
          <w:sz w:val="32"/>
          <w:szCs w:val="32"/>
          <w:lang w:bidi="zh-CN"/>
        </w:rPr>
        <w:t>第十</w:t>
      </w:r>
      <w:r>
        <w:rPr>
          <w:rFonts w:hint="eastAsia" w:ascii="仿宋" w:hAnsi="仿宋" w:eastAsia="仿宋" w:cs="仿宋"/>
          <w:b/>
          <w:bCs/>
          <w:kern w:val="0"/>
          <w:sz w:val="32"/>
          <w:szCs w:val="32"/>
          <w:lang w:bidi="zh-CN"/>
        </w:rPr>
        <w:t>九</w:t>
      </w:r>
      <w:r>
        <w:rPr>
          <w:rFonts w:ascii="仿宋" w:hAnsi="仿宋" w:eastAsia="仿宋" w:cs="仿宋"/>
          <w:b/>
          <w:bCs/>
          <w:kern w:val="0"/>
          <w:sz w:val="32"/>
          <w:szCs w:val="32"/>
          <w:lang w:bidi="zh-CN"/>
        </w:rPr>
        <w:t>条</w:t>
      </w:r>
      <w:r>
        <w:rPr>
          <w:rFonts w:ascii="仿宋" w:hAnsi="仿宋" w:eastAsia="仿宋" w:cs="仿宋"/>
          <w:kern w:val="0"/>
          <w:sz w:val="32"/>
          <w:szCs w:val="32"/>
          <w:lang w:bidi="zh-CN"/>
        </w:rPr>
        <w:t>省级层面相关部门紧密配合、职责分工明确的协同推进机制。</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(一)省能源局负责编制省级专项规划，并统筹指导全省各地市开展布局规划编制工作。</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w:t>
      </w:r>
      <w:r>
        <w:rPr>
          <w:rFonts w:hint="eastAsia"/>
        </w:rPr>
        <w:t xml:space="preserve"> </w:t>
      </w:r>
      <w:r>
        <w:rPr>
          <w:rFonts w:hint="eastAsia" w:ascii="仿宋_GB2312" w:eastAsia="仿宋_GB2312"/>
          <w:sz w:val="32"/>
          <w:szCs w:val="32"/>
        </w:rPr>
        <w:t>省发改委负责指导各地</w:t>
      </w:r>
      <w:r>
        <w:rPr>
          <w:rFonts w:hint="eastAsia" w:ascii="仿宋_GB2312" w:eastAsia="仿宋_GB2312"/>
          <w:sz w:val="32"/>
          <w:szCs w:val="32"/>
          <w:lang w:eastAsia="zh-CN"/>
        </w:rPr>
        <w:t>落实</w:t>
      </w:r>
      <w:r>
        <w:rPr>
          <w:rFonts w:hint="eastAsia" w:ascii="仿宋_GB2312" w:eastAsia="仿宋_GB2312"/>
          <w:sz w:val="32"/>
          <w:szCs w:val="32"/>
        </w:rPr>
        <w:t>专用、公用充换电基础设施备案制度，制定并适时调整全省充换电设施用电价格政策。</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(三)</w:t>
      </w:r>
      <w:r>
        <w:rPr>
          <w:rFonts w:hint="eastAsia"/>
        </w:rPr>
        <w:t xml:space="preserve"> </w:t>
      </w:r>
      <w:r>
        <w:rPr>
          <w:rFonts w:hint="eastAsia" w:ascii="仿宋_GB2312" w:eastAsia="仿宋_GB2312"/>
          <w:sz w:val="32"/>
          <w:szCs w:val="32"/>
        </w:rPr>
        <w:t>省财政厅负责电动汽车充换电基础设施建设财政支持政策制定等工作。</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(四)省自然资源厅负责电动汽车充换电基础设施建设用地政策的落实与协调工作。</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(五)省住房和城乡建设厅负责指导全省市政公用设施、城市公园等公共停车场充换电设施的建设工作。</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(六)省交通运输厅负责配合有关部门做好高速公路、国省干线公路配套充换电设施的规划布局、建设等工作。</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(七)</w:t>
      </w:r>
      <w:r>
        <w:rPr>
          <w:rFonts w:hint="eastAsia"/>
        </w:rPr>
        <w:t xml:space="preserve"> </w:t>
      </w:r>
      <w:r>
        <w:rPr>
          <w:rFonts w:hint="eastAsia" w:ascii="仿宋_GB2312" w:eastAsia="仿宋_GB2312"/>
          <w:sz w:val="32"/>
          <w:szCs w:val="32"/>
        </w:rPr>
        <w:t>省消防救援总队负责指导各地消防救援机构配合做好充换电基础设施消防安全管理工作。</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(八) 省市场监督管理厅负责充电设施运营单位业务许可资质、设备质量计量的监督与管理工作。</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(九)省电网企业负责充换电设施配套电网建设及供电服务等工作。</w:t>
      </w:r>
    </w:p>
    <w:p>
      <w:pPr>
        <w:snapToGrid w:val="0"/>
        <w:spacing w:line="360" w:lineRule="auto"/>
        <w:ind w:firstLine="640" w:firstLineChars="200"/>
        <w:rPr>
          <w:rFonts w:ascii="仿宋" w:hAnsi="仿宋" w:eastAsia="仿宋" w:cs="仿宋"/>
          <w:sz w:val="32"/>
          <w:szCs w:val="32"/>
          <w:lang w:bidi="zh-CN"/>
        </w:rPr>
      </w:pPr>
      <w:r>
        <w:rPr>
          <w:rFonts w:hint="eastAsia" w:ascii="仿宋_GB2312" w:eastAsia="仿宋_GB2312"/>
          <w:sz w:val="32"/>
          <w:szCs w:val="32"/>
        </w:rPr>
        <w:t>(十)省级充换电基础设施信息平台负责省级平台的建设、运营和管理，依托“互联网+”智慧能源，提升智能服务水平，对充换电行业信息进行统计分析，定期向省工信厅、省能源局提供分析报告，为政府部门市场监管和安全监督提供支撑。</w:t>
      </w:r>
    </w:p>
    <w:p>
      <w:pPr>
        <w:pStyle w:val="9"/>
        <w:overflowPunct w:val="0"/>
        <w:autoSpaceDE w:val="0"/>
        <w:autoSpaceDN w:val="0"/>
        <w:spacing w:line="333" w:lineRule="auto"/>
        <w:ind w:firstLine="630"/>
        <w:rPr>
          <w:rFonts w:ascii="仿宋" w:hAnsi="仿宋" w:eastAsia="仿宋" w:cs="仿宋"/>
          <w:kern w:val="0"/>
          <w:sz w:val="32"/>
          <w:szCs w:val="32"/>
          <w:lang w:bidi="zh-CN"/>
        </w:rPr>
      </w:pPr>
      <w:r>
        <w:rPr>
          <w:rFonts w:ascii="仿宋" w:hAnsi="仿宋" w:eastAsia="仿宋" w:cs="仿宋"/>
          <w:b/>
          <w:bCs/>
          <w:kern w:val="0"/>
          <w:sz w:val="32"/>
          <w:szCs w:val="32"/>
          <w:lang w:bidi="zh-CN"/>
        </w:rPr>
        <w:t>第</w:t>
      </w:r>
      <w:r>
        <w:rPr>
          <w:rFonts w:hint="eastAsia" w:ascii="仿宋" w:hAnsi="仿宋" w:eastAsia="仿宋" w:cs="仿宋"/>
          <w:b/>
          <w:bCs/>
          <w:kern w:val="0"/>
          <w:sz w:val="32"/>
          <w:szCs w:val="32"/>
          <w:lang w:bidi="zh-CN"/>
        </w:rPr>
        <w:t>二十</w:t>
      </w:r>
      <w:r>
        <w:rPr>
          <w:rFonts w:ascii="仿宋" w:hAnsi="仿宋" w:eastAsia="仿宋" w:cs="仿宋"/>
          <w:b/>
          <w:bCs/>
          <w:kern w:val="0"/>
          <w:sz w:val="32"/>
          <w:szCs w:val="32"/>
          <w:lang w:bidi="zh-CN"/>
        </w:rPr>
        <w:t xml:space="preserve">条 </w:t>
      </w:r>
      <w:r>
        <w:rPr>
          <w:rFonts w:ascii="仿宋" w:hAnsi="仿宋" w:eastAsia="仿宋" w:cs="仿宋"/>
          <w:kern w:val="0"/>
          <w:sz w:val="32"/>
          <w:szCs w:val="32"/>
          <w:lang w:bidi="zh-CN"/>
        </w:rPr>
        <w:t>各县（市、区）级以上政府是本地区电动汽车充换电基础设施规划建设的责任主体</w:t>
      </w:r>
      <w:r>
        <w:rPr>
          <w:rFonts w:hint="eastAsia" w:ascii="仿宋" w:hAnsi="仿宋" w:eastAsia="仿宋" w:cs="仿宋"/>
          <w:kern w:val="0"/>
          <w:sz w:val="32"/>
          <w:szCs w:val="32"/>
          <w:lang w:bidi="zh-CN"/>
        </w:rPr>
        <w:t>，</w:t>
      </w:r>
      <w:r>
        <w:rPr>
          <w:rFonts w:ascii="仿宋" w:hAnsi="仿宋" w:eastAsia="仿宋" w:cs="仿宋"/>
          <w:kern w:val="0"/>
          <w:sz w:val="32"/>
          <w:szCs w:val="32"/>
          <w:lang w:bidi="zh-CN"/>
        </w:rPr>
        <w:t>落实当地政府统筹推进充换电基础设施建设的主体责任</w:t>
      </w:r>
      <w:r>
        <w:rPr>
          <w:rFonts w:hint="eastAsia" w:ascii="仿宋" w:hAnsi="仿宋" w:eastAsia="仿宋" w:cs="仿宋"/>
          <w:kern w:val="0"/>
          <w:sz w:val="32"/>
          <w:szCs w:val="32"/>
          <w:lang w:bidi="zh-CN"/>
        </w:rPr>
        <w:t>。</w:t>
      </w:r>
      <w:r>
        <w:rPr>
          <w:rFonts w:ascii="仿宋" w:hAnsi="仿宋" w:eastAsia="仿宋" w:cs="仿宋"/>
          <w:kern w:val="0"/>
          <w:sz w:val="32"/>
          <w:szCs w:val="32"/>
          <w:lang w:bidi="zh-CN"/>
        </w:rPr>
        <w:t>要将充换电基础设施建设管理作为政府专项管理内容，</w:t>
      </w:r>
      <w:r>
        <w:rPr>
          <w:rFonts w:hint="eastAsia" w:ascii="仿宋" w:hAnsi="仿宋" w:eastAsia="仿宋" w:cs="仿宋"/>
          <w:kern w:val="0"/>
          <w:sz w:val="32"/>
          <w:szCs w:val="32"/>
          <w:lang w:bidi="zh-CN"/>
        </w:rPr>
        <w:t>以国土空间总体规划为依据，加强与电网规划及物业管理、城市停车等的统筹协调</w:t>
      </w:r>
      <w:r>
        <w:rPr>
          <w:rFonts w:ascii="仿宋" w:hAnsi="仿宋" w:eastAsia="仿宋" w:cs="仿宋"/>
          <w:kern w:val="0"/>
          <w:sz w:val="32"/>
          <w:szCs w:val="32"/>
          <w:lang w:bidi="zh-CN"/>
        </w:rPr>
        <w:t>，科学布局充换电基础设施。建立由发改（能源）部门牵头、相关部门配合的责任机制，加强建设管理，切实建立充换电基础设施安全管理体系。</w:t>
      </w:r>
    </w:p>
    <w:p>
      <w:pPr>
        <w:pStyle w:val="9"/>
        <w:overflowPunct w:val="0"/>
        <w:autoSpaceDE w:val="0"/>
        <w:autoSpaceDN w:val="0"/>
        <w:spacing w:line="333" w:lineRule="auto"/>
        <w:rPr>
          <w:rStyle w:val="8"/>
          <w:rFonts w:ascii="宋体" w:hAnsi="宋体"/>
          <w:sz w:val="32"/>
          <w:szCs w:val="32"/>
        </w:rPr>
      </w:pPr>
      <w:r>
        <w:rPr>
          <w:sz w:val="32"/>
          <w:szCs w:val="32"/>
        </w:rPr>
        <w:t>　</w:t>
      </w:r>
      <w:r>
        <w:rPr>
          <w:rFonts w:ascii="仿宋" w:hAnsi="仿宋" w:eastAsia="仿宋" w:cs="仿宋"/>
          <w:kern w:val="0"/>
          <w:sz w:val="32"/>
          <w:szCs w:val="32"/>
          <w:lang w:bidi="zh-CN"/>
        </w:rPr>
        <w:t>　</w:t>
      </w:r>
      <w:r>
        <w:rPr>
          <w:rStyle w:val="8"/>
          <w:rFonts w:ascii="宋体" w:hAnsi="宋体"/>
          <w:sz w:val="32"/>
          <w:szCs w:val="32"/>
        </w:rPr>
        <w:t>第六章 政策支持</w:t>
      </w:r>
    </w:p>
    <w:p>
      <w:pPr>
        <w:pStyle w:val="9"/>
        <w:overflowPunct w:val="0"/>
        <w:autoSpaceDE w:val="0"/>
        <w:autoSpaceDN w:val="0"/>
        <w:spacing w:line="333" w:lineRule="auto"/>
        <w:rPr>
          <w:rFonts w:ascii="仿宋" w:hAnsi="仿宋" w:eastAsia="仿宋" w:cs="仿宋"/>
          <w:kern w:val="0"/>
          <w:sz w:val="32"/>
          <w:szCs w:val="32"/>
          <w:lang w:bidi="zh-CN"/>
        </w:rPr>
      </w:pPr>
      <w:r>
        <w:rPr>
          <w:sz w:val="32"/>
          <w:szCs w:val="32"/>
        </w:rPr>
        <w:t>　　</w:t>
      </w:r>
      <w:r>
        <w:rPr>
          <w:rFonts w:ascii="仿宋" w:hAnsi="仿宋" w:eastAsia="仿宋" w:cs="仿宋"/>
          <w:b/>
          <w:bCs/>
          <w:kern w:val="0"/>
          <w:sz w:val="32"/>
          <w:szCs w:val="32"/>
          <w:lang w:bidi="zh-CN"/>
        </w:rPr>
        <w:t>第二十</w:t>
      </w:r>
      <w:r>
        <w:rPr>
          <w:rFonts w:hint="eastAsia" w:ascii="仿宋" w:hAnsi="仿宋" w:eastAsia="仿宋" w:cs="仿宋"/>
          <w:b/>
          <w:bCs/>
          <w:kern w:val="0"/>
          <w:sz w:val="32"/>
          <w:szCs w:val="32"/>
          <w:lang w:bidi="zh-CN"/>
        </w:rPr>
        <w:t>一</w:t>
      </w:r>
      <w:r>
        <w:rPr>
          <w:rFonts w:ascii="仿宋" w:hAnsi="仿宋" w:eastAsia="仿宋" w:cs="仿宋"/>
          <w:b/>
          <w:bCs/>
          <w:kern w:val="0"/>
          <w:sz w:val="32"/>
          <w:szCs w:val="32"/>
          <w:lang w:bidi="zh-CN"/>
        </w:rPr>
        <w:t xml:space="preserve">条 </w:t>
      </w:r>
      <w:r>
        <w:rPr>
          <w:rFonts w:ascii="仿宋" w:hAnsi="仿宋" w:eastAsia="仿宋" w:cs="仿宋"/>
          <w:kern w:val="0"/>
          <w:sz w:val="32"/>
          <w:szCs w:val="32"/>
          <w:lang w:bidi="zh-CN"/>
        </w:rPr>
        <w:t>电网企业要为充换电设施接入电网提供便利条件，设置专用服务窗口，简化办事程序，明确办理时限，开辟电力扩容等审批服务的绿色通道，利用营业窗口和供电服务热线等途径，做好服务、宣传工作，并负责建设和运行维护充电基础设施产权分界点至电网的配套接网工程，免收接网费用。</w:t>
      </w:r>
    </w:p>
    <w:p>
      <w:pPr>
        <w:pStyle w:val="9"/>
        <w:overflowPunct w:val="0"/>
        <w:autoSpaceDE w:val="0"/>
        <w:autoSpaceDN w:val="0"/>
        <w:spacing w:line="333" w:lineRule="auto"/>
        <w:rPr>
          <w:rFonts w:ascii="仿宋" w:hAnsi="仿宋" w:eastAsia="仿宋" w:cs="仿宋"/>
          <w:kern w:val="0"/>
          <w:sz w:val="32"/>
          <w:szCs w:val="32"/>
          <w:lang w:bidi="zh-CN"/>
        </w:rPr>
      </w:pPr>
      <w:r>
        <w:rPr>
          <w:sz w:val="32"/>
          <w:szCs w:val="32"/>
        </w:rPr>
        <w:t>　　</w:t>
      </w:r>
      <w:r>
        <w:rPr>
          <w:rFonts w:ascii="仿宋" w:hAnsi="仿宋" w:eastAsia="仿宋" w:cs="仿宋"/>
          <w:b/>
          <w:bCs/>
          <w:kern w:val="0"/>
          <w:sz w:val="32"/>
          <w:szCs w:val="32"/>
          <w:lang w:bidi="zh-CN"/>
        </w:rPr>
        <w:t>第二十</w:t>
      </w:r>
      <w:r>
        <w:rPr>
          <w:rFonts w:hint="eastAsia" w:ascii="仿宋" w:hAnsi="仿宋" w:eastAsia="仿宋" w:cs="仿宋"/>
          <w:b/>
          <w:bCs/>
          <w:kern w:val="0"/>
          <w:sz w:val="32"/>
          <w:szCs w:val="32"/>
          <w:lang w:bidi="zh-CN"/>
        </w:rPr>
        <w:t>二</w:t>
      </w:r>
      <w:r>
        <w:rPr>
          <w:rFonts w:ascii="仿宋" w:hAnsi="仿宋" w:eastAsia="仿宋" w:cs="仿宋"/>
          <w:b/>
          <w:bCs/>
          <w:kern w:val="0"/>
          <w:sz w:val="32"/>
          <w:szCs w:val="32"/>
          <w:lang w:bidi="zh-CN"/>
        </w:rPr>
        <w:t>条</w:t>
      </w:r>
      <w:r>
        <w:rPr>
          <w:rFonts w:ascii="仿宋" w:hAnsi="仿宋" w:eastAsia="仿宋" w:cs="仿宋"/>
          <w:kern w:val="0"/>
          <w:sz w:val="32"/>
          <w:szCs w:val="32"/>
          <w:lang w:bidi="zh-CN"/>
        </w:rPr>
        <w:t xml:space="preserve"> </w:t>
      </w:r>
      <w:r>
        <w:rPr>
          <w:rFonts w:hint="eastAsia" w:ascii="仿宋" w:hAnsi="仿宋" w:eastAsia="仿宋" w:cs="仿宋"/>
          <w:kern w:val="0"/>
          <w:sz w:val="32"/>
          <w:szCs w:val="32"/>
          <w:lang w:bidi="zh-CN"/>
        </w:rPr>
        <w:t>执行扶持性电价和服务费市场化价格政策。</w:t>
      </w:r>
    </w:p>
    <w:p>
      <w:pPr>
        <w:pStyle w:val="9"/>
        <w:overflowPunct w:val="0"/>
        <w:autoSpaceDE w:val="0"/>
        <w:autoSpaceDN w:val="0"/>
        <w:spacing w:line="333" w:lineRule="auto"/>
        <w:rPr>
          <w:rFonts w:ascii="仿宋" w:hAnsi="仿宋" w:eastAsia="仿宋" w:cs="仿宋"/>
          <w:kern w:val="0"/>
          <w:sz w:val="32"/>
          <w:szCs w:val="32"/>
          <w:lang w:bidi="zh-CN"/>
        </w:rPr>
      </w:pPr>
      <w:r>
        <w:rPr>
          <w:sz w:val="32"/>
          <w:szCs w:val="32"/>
        </w:rPr>
        <w:t>　　</w:t>
      </w:r>
      <w:r>
        <w:rPr>
          <w:rFonts w:ascii="仿宋" w:hAnsi="仿宋" w:eastAsia="仿宋" w:cs="仿宋"/>
          <w:kern w:val="0"/>
          <w:sz w:val="32"/>
          <w:szCs w:val="32"/>
          <w:lang w:bidi="zh-CN"/>
        </w:rPr>
        <w:t>(一)</w:t>
      </w:r>
      <w:r>
        <w:rPr>
          <w:rFonts w:hint="eastAsia"/>
        </w:rPr>
        <w:t xml:space="preserve"> </w:t>
      </w:r>
      <w:r>
        <w:rPr>
          <w:rFonts w:hint="eastAsia" w:ascii="仿宋" w:hAnsi="仿宋" w:eastAsia="仿宋" w:cs="仿宋"/>
          <w:kern w:val="0"/>
          <w:sz w:val="32"/>
          <w:szCs w:val="32"/>
          <w:lang w:bidi="zh-CN"/>
        </w:rPr>
        <w:t>对向电网经营企业直接报装接电的经营性集中式充换电设施用电，按“大工业”用电类别执行，2025年底前，免收基本电费。</w:t>
      </w:r>
    </w:p>
    <w:p>
      <w:pPr>
        <w:pStyle w:val="9"/>
        <w:overflowPunct w:val="0"/>
        <w:autoSpaceDE w:val="0"/>
        <w:autoSpaceDN w:val="0"/>
        <w:spacing w:line="333" w:lineRule="auto"/>
        <w:ind w:firstLine="660"/>
        <w:rPr>
          <w:rFonts w:ascii="仿宋" w:hAnsi="仿宋" w:eastAsia="仿宋" w:cs="仿宋"/>
          <w:kern w:val="0"/>
          <w:sz w:val="32"/>
          <w:szCs w:val="32"/>
          <w:lang w:bidi="zh-CN"/>
        </w:rPr>
      </w:pPr>
      <w:r>
        <w:rPr>
          <w:rFonts w:ascii="仿宋" w:hAnsi="仿宋" w:eastAsia="仿宋" w:cs="仿宋"/>
          <w:kern w:val="0"/>
          <w:sz w:val="32"/>
          <w:szCs w:val="32"/>
          <w:lang w:bidi="zh-CN"/>
        </w:rPr>
        <w:t>(二)</w:t>
      </w:r>
      <w:r>
        <w:rPr>
          <w:rFonts w:hint="eastAsia" w:ascii="仿宋" w:hAnsi="仿宋" w:eastAsia="仿宋" w:cs="仿宋"/>
          <w:kern w:val="0"/>
          <w:sz w:val="32"/>
          <w:szCs w:val="32"/>
          <w:lang w:bidi="zh-CN"/>
        </w:rPr>
        <w:t>其他充电设施按其所在场所执行不同类别电价。其中，居民家庭住宅、居民住宅小区、执行居民电价的非居民用户中设置的充电设施用电，执行居民用电价格中的合表用户电价；党政机关、企事业单位和社会公共停车场中设置的充电设施用电，按“一般工商业及其他”用电类别执行。</w:t>
      </w:r>
      <w:r>
        <w:rPr>
          <w:rFonts w:ascii="仿宋" w:hAnsi="仿宋" w:eastAsia="仿宋" w:cs="仿宋"/>
          <w:kern w:val="0"/>
          <w:sz w:val="32"/>
          <w:szCs w:val="32"/>
          <w:lang w:bidi="zh-CN"/>
        </w:rPr>
        <w:t>　</w:t>
      </w:r>
    </w:p>
    <w:p>
      <w:pPr>
        <w:pStyle w:val="9"/>
        <w:overflowPunct w:val="0"/>
        <w:autoSpaceDE w:val="0"/>
        <w:autoSpaceDN w:val="0"/>
        <w:spacing w:line="333" w:lineRule="auto"/>
        <w:ind w:firstLine="660"/>
        <w:rPr>
          <w:rFonts w:ascii="仿宋" w:hAnsi="仿宋" w:eastAsia="仿宋" w:cs="仿宋"/>
          <w:kern w:val="0"/>
          <w:sz w:val="32"/>
          <w:szCs w:val="32"/>
          <w:lang w:bidi="zh-CN"/>
        </w:rPr>
      </w:pPr>
      <w:r>
        <w:rPr>
          <w:rFonts w:ascii="仿宋" w:hAnsi="仿宋" w:eastAsia="仿宋" w:cs="仿宋"/>
          <w:kern w:val="0"/>
          <w:sz w:val="32"/>
          <w:szCs w:val="32"/>
          <w:lang w:bidi="zh-CN"/>
        </w:rPr>
        <w:t>(三)</w:t>
      </w:r>
      <w:r>
        <w:rPr>
          <w:rFonts w:hint="eastAsia"/>
        </w:rPr>
        <w:t xml:space="preserve"> </w:t>
      </w:r>
      <w:r>
        <w:rPr>
          <w:rFonts w:hint="eastAsia" w:ascii="仿宋" w:hAnsi="仿宋" w:eastAsia="仿宋" w:cs="仿宋"/>
          <w:kern w:val="0"/>
          <w:sz w:val="32"/>
          <w:szCs w:val="32"/>
          <w:lang w:bidi="zh-CN"/>
        </w:rPr>
        <w:t>上述“大工业”“一般工商业及其他”用电价格不再执行已取消的目录电价。其中，直接参与市场的，按照市场化交易规则形成用电价格；暂未直接参与市场的，执行电网企业代理购电价格。</w:t>
      </w:r>
    </w:p>
    <w:p>
      <w:pPr>
        <w:pStyle w:val="9"/>
        <w:overflowPunct w:val="0"/>
        <w:autoSpaceDE w:val="0"/>
        <w:autoSpaceDN w:val="0"/>
        <w:spacing w:line="333" w:lineRule="auto"/>
        <w:ind w:firstLine="660"/>
        <w:rPr>
          <w:rFonts w:ascii="仿宋" w:hAnsi="仿宋" w:eastAsia="仿宋" w:cs="仿宋"/>
          <w:kern w:val="0"/>
          <w:sz w:val="32"/>
          <w:szCs w:val="32"/>
          <w:lang w:bidi="zh-CN"/>
        </w:rPr>
      </w:pPr>
      <w:r>
        <w:rPr>
          <w:rFonts w:ascii="仿宋" w:hAnsi="仿宋" w:eastAsia="仿宋" w:cs="仿宋"/>
          <w:kern w:val="0"/>
          <w:sz w:val="32"/>
          <w:szCs w:val="32"/>
          <w:lang w:bidi="zh-CN"/>
        </w:rPr>
        <w:t>(四)</w:t>
      </w:r>
      <w:r>
        <w:rPr>
          <w:rFonts w:hint="eastAsia"/>
        </w:rPr>
        <w:t xml:space="preserve"> </w:t>
      </w:r>
      <w:r>
        <w:rPr>
          <w:rFonts w:hint="eastAsia" w:ascii="仿宋" w:hAnsi="仿宋" w:eastAsia="仿宋" w:cs="仿宋"/>
          <w:kern w:val="0"/>
          <w:sz w:val="32"/>
          <w:szCs w:val="32"/>
          <w:lang w:bidi="zh-CN"/>
        </w:rPr>
        <w:t>充换电设施用电实行峰谷分时电价政策，按我省现行实施峰谷电价的范围执行。</w:t>
      </w:r>
    </w:p>
    <w:p>
      <w:pPr>
        <w:pStyle w:val="9"/>
        <w:overflowPunct w:val="0"/>
        <w:autoSpaceDE w:val="0"/>
        <w:autoSpaceDN w:val="0"/>
        <w:spacing w:line="333" w:lineRule="auto"/>
        <w:ind w:firstLine="660"/>
        <w:rPr>
          <w:rFonts w:ascii="仿宋" w:hAnsi="仿宋" w:eastAsia="仿宋" w:cs="仿宋"/>
          <w:kern w:val="0"/>
          <w:sz w:val="32"/>
          <w:szCs w:val="32"/>
          <w:lang w:bidi="zh-CN"/>
        </w:rPr>
      </w:pPr>
      <w:r>
        <w:rPr>
          <w:rFonts w:ascii="仿宋" w:hAnsi="仿宋" w:eastAsia="仿宋" w:cs="仿宋"/>
          <w:kern w:val="0"/>
          <w:sz w:val="32"/>
          <w:szCs w:val="32"/>
          <w:lang w:bidi="zh-CN"/>
        </w:rPr>
        <w:t>(</w:t>
      </w:r>
      <w:r>
        <w:rPr>
          <w:rFonts w:hint="eastAsia" w:ascii="仿宋" w:hAnsi="仿宋" w:eastAsia="仿宋" w:cs="仿宋"/>
          <w:kern w:val="0"/>
          <w:sz w:val="32"/>
          <w:szCs w:val="32"/>
          <w:lang w:bidi="zh-CN"/>
        </w:rPr>
        <w:t>五</w:t>
      </w:r>
      <w:r>
        <w:rPr>
          <w:rFonts w:ascii="仿宋" w:hAnsi="仿宋" w:eastAsia="仿宋" w:cs="仿宋"/>
          <w:kern w:val="0"/>
          <w:sz w:val="32"/>
          <w:szCs w:val="32"/>
          <w:lang w:bidi="zh-CN"/>
        </w:rPr>
        <w:t>)</w:t>
      </w:r>
      <w:r>
        <w:rPr>
          <w:rFonts w:hint="eastAsia"/>
        </w:rPr>
        <w:t xml:space="preserve"> </w:t>
      </w:r>
      <w:r>
        <w:rPr>
          <w:rFonts w:hint="eastAsia" w:ascii="仿宋" w:hAnsi="仿宋" w:eastAsia="仿宋" w:cs="仿宋"/>
          <w:kern w:val="0"/>
          <w:sz w:val="32"/>
          <w:szCs w:val="32"/>
          <w:lang w:bidi="zh-CN"/>
        </w:rPr>
        <w:t>充电设施经营企业可按照充电电费和服务费收取费用。其中，充电电费执行上述扶持性电价政策；充电服务费实行市场化价格，由企业明码标价。</w:t>
      </w:r>
    </w:p>
    <w:p>
      <w:pPr>
        <w:pStyle w:val="9"/>
        <w:overflowPunct w:val="0"/>
        <w:autoSpaceDE w:val="0"/>
        <w:autoSpaceDN w:val="0"/>
        <w:spacing w:line="333" w:lineRule="auto"/>
        <w:rPr>
          <w:rFonts w:ascii="仿宋" w:hAnsi="仿宋" w:eastAsia="仿宋" w:cs="仿宋"/>
          <w:kern w:val="0"/>
          <w:sz w:val="32"/>
          <w:szCs w:val="32"/>
          <w:lang w:bidi="zh-CN"/>
        </w:rPr>
      </w:pPr>
      <w:r>
        <w:rPr>
          <w:sz w:val="32"/>
          <w:szCs w:val="32"/>
        </w:rPr>
        <w:t>　　</w:t>
      </w:r>
      <w:r>
        <w:rPr>
          <w:rFonts w:ascii="仿宋" w:hAnsi="仿宋" w:eastAsia="仿宋" w:cs="仿宋"/>
          <w:b/>
          <w:bCs/>
          <w:kern w:val="0"/>
          <w:sz w:val="32"/>
          <w:szCs w:val="32"/>
          <w:lang w:bidi="zh-CN"/>
        </w:rPr>
        <w:t>第二十</w:t>
      </w:r>
      <w:r>
        <w:rPr>
          <w:rFonts w:hint="eastAsia" w:ascii="仿宋" w:hAnsi="仿宋" w:eastAsia="仿宋" w:cs="仿宋"/>
          <w:b/>
          <w:bCs/>
          <w:kern w:val="0"/>
          <w:sz w:val="32"/>
          <w:szCs w:val="32"/>
          <w:lang w:bidi="zh-CN"/>
        </w:rPr>
        <w:t>三</w:t>
      </w:r>
      <w:r>
        <w:rPr>
          <w:rFonts w:ascii="仿宋" w:hAnsi="仿宋" w:eastAsia="仿宋" w:cs="仿宋"/>
          <w:b/>
          <w:bCs/>
          <w:kern w:val="0"/>
          <w:sz w:val="32"/>
          <w:szCs w:val="32"/>
          <w:lang w:bidi="zh-CN"/>
        </w:rPr>
        <w:t>条</w:t>
      </w:r>
      <w:r>
        <w:rPr>
          <w:rFonts w:ascii="仿宋" w:hAnsi="仿宋" w:eastAsia="仿宋" w:cs="仿宋"/>
          <w:kern w:val="0"/>
          <w:sz w:val="32"/>
          <w:szCs w:val="32"/>
          <w:lang w:bidi="zh-CN"/>
        </w:rPr>
        <w:t xml:space="preserve"> 加大充换电设施建设用地政策支持力度。</w:t>
      </w:r>
    </w:p>
    <w:p>
      <w:pPr>
        <w:pStyle w:val="9"/>
        <w:overflowPunct w:val="0"/>
        <w:autoSpaceDE w:val="0"/>
        <w:autoSpaceDN w:val="0"/>
        <w:spacing w:line="333" w:lineRule="auto"/>
        <w:rPr>
          <w:rFonts w:ascii="仿宋" w:hAnsi="仿宋" w:eastAsia="仿宋" w:cs="仿宋"/>
          <w:kern w:val="0"/>
          <w:sz w:val="32"/>
          <w:szCs w:val="32"/>
          <w:lang w:bidi="zh-CN"/>
        </w:rPr>
      </w:pPr>
      <w:r>
        <w:rPr>
          <w:sz w:val="32"/>
          <w:szCs w:val="32"/>
        </w:rPr>
        <w:t>　　（一）</w:t>
      </w:r>
      <w:r>
        <w:rPr>
          <w:rFonts w:ascii="仿宋" w:hAnsi="仿宋" w:eastAsia="仿宋" w:cs="仿宋"/>
          <w:kern w:val="0"/>
          <w:sz w:val="32"/>
          <w:szCs w:val="32"/>
          <w:lang w:bidi="zh-CN"/>
        </w:rPr>
        <w:t>将独立占地的集中式充换电站用地纳入公用设施营业网点用地,按照加油加气站用地供应模式,优先安排土地供应，办理建设用地规划许可证、建设工程规划许可证和施工许可证。</w:t>
      </w:r>
    </w:p>
    <w:p>
      <w:pPr>
        <w:pStyle w:val="9"/>
        <w:overflowPunct w:val="0"/>
        <w:autoSpaceDE w:val="0"/>
        <w:autoSpaceDN w:val="0"/>
        <w:spacing w:line="333" w:lineRule="auto"/>
        <w:rPr>
          <w:rFonts w:ascii="仿宋" w:hAnsi="仿宋" w:eastAsia="仿宋" w:cs="仿宋"/>
          <w:kern w:val="0"/>
          <w:sz w:val="32"/>
          <w:szCs w:val="32"/>
          <w:lang w:bidi="zh-CN"/>
        </w:rPr>
      </w:pPr>
      <w:r>
        <w:rPr>
          <w:sz w:val="32"/>
          <w:szCs w:val="32"/>
        </w:rPr>
        <w:t>　　（二）</w:t>
      </w:r>
      <w:r>
        <w:rPr>
          <w:rFonts w:ascii="仿宋" w:hAnsi="仿宋" w:eastAsia="仿宋" w:cs="仿宋"/>
          <w:kern w:val="0"/>
          <w:sz w:val="32"/>
          <w:szCs w:val="32"/>
          <w:lang w:bidi="zh-CN"/>
        </w:rPr>
        <w:t>新建项目用地需配建充换电基础设施的,可将配建要求纳入土地供应条件,允许土地使用权取得人与其他市场主体合作,按要求投资建设运营充换电基础设施。</w:t>
      </w:r>
    </w:p>
    <w:p>
      <w:pPr>
        <w:pStyle w:val="9"/>
        <w:overflowPunct w:val="0"/>
        <w:autoSpaceDE w:val="0"/>
        <w:autoSpaceDN w:val="0"/>
        <w:spacing w:line="333" w:lineRule="auto"/>
        <w:rPr>
          <w:rFonts w:ascii="仿宋" w:hAnsi="仿宋" w:eastAsia="仿宋" w:cs="仿宋"/>
          <w:kern w:val="0"/>
          <w:sz w:val="32"/>
          <w:szCs w:val="32"/>
          <w:lang w:bidi="zh-CN"/>
        </w:rPr>
      </w:pPr>
      <w:r>
        <w:rPr>
          <w:sz w:val="32"/>
          <w:szCs w:val="32"/>
        </w:rPr>
        <w:t>　　</w:t>
      </w:r>
      <w:r>
        <w:rPr>
          <w:rFonts w:ascii="仿宋" w:hAnsi="仿宋" w:eastAsia="仿宋" w:cs="仿宋"/>
          <w:kern w:val="0"/>
          <w:sz w:val="32"/>
          <w:szCs w:val="32"/>
          <w:lang w:bidi="zh-CN"/>
        </w:rPr>
        <w:t>（三）建设社会公共停车场（楼）时，无需为同步建设的充电桩群等充电设施单独办理建设工程规划许可证和施工许可证。</w:t>
      </w:r>
    </w:p>
    <w:p>
      <w:pPr>
        <w:pStyle w:val="9"/>
        <w:overflowPunct w:val="0"/>
        <w:autoSpaceDE w:val="0"/>
        <w:autoSpaceDN w:val="0"/>
        <w:spacing w:line="333" w:lineRule="auto"/>
        <w:rPr>
          <w:rFonts w:ascii="仿宋" w:hAnsi="仿宋" w:eastAsia="仿宋" w:cs="仿宋"/>
          <w:kern w:val="0"/>
          <w:sz w:val="32"/>
          <w:szCs w:val="32"/>
          <w:lang w:bidi="zh-CN"/>
        </w:rPr>
      </w:pPr>
      <w:r>
        <w:rPr>
          <w:sz w:val="32"/>
          <w:szCs w:val="32"/>
        </w:rPr>
        <w:t>　　</w:t>
      </w:r>
      <w:r>
        <w:rPr>
          <w:rFonts w:ascii="仿宋" w:hAnsi="仿宋" w:eastAsia="仿宋" w:cs="仿宋"/>
          <w:kern w:val="0"/>
          <w:sz w:val="32"/>
          <w:szCs w:val="32"/>
          <w:lang w:bidi="zh-CN"/>
        </w:rPr>
        <w:t>（四）个人在自有停车库、停车位,各居住区、单位在既有停车泊位安装充电设施的,无需办理建设用地规划许可证、建设工程规划许可证和施工许可证。</w:t>
      </w:r>
    </w:p>
    <w:p>
      <w:pPr>
        <w:pStyle w:val="9"/>
        <w:overflowPunct w:val="0"/>
        <w:autoSpaceDE w:val="0"/>
        <w:autoSpaceDN w:val="0"/>
        <w:spacing w:line="333" w:lineRule="auto"/>
        <w:ind w:firstLine="640" w:firstLineChars="200"/>
        <w:rPr>
          <w:rFonts w:ascii="仿宋" w:hAnsi="仿宋" w:eastAsia="仿宋" w:cs="仿宋"/>
          <w:kern w:val="0"/>
          <w:sz w:val="32"/>
          <w:szCs w:val="32"/>
          <w:lang w:bidi="zh-CN"/>
        </w:rPr>
      </w:pPr>
      <w:r>
        <w:rPr>
          <w:rFonts w:ascii="仿宋" w:hAnsi="仿宋" w:eastAsia="仿宋" w:cs="仿宋"/>
          <w:kern w:val="0"/>
          <w:sz w:val="32"/>
          <w:szCs w:val="32"/>
          <w:lang w:bidi="zh-CN"/>
        </w:rPr>
        <w:t>（五）鼓励在已有各类建筑物配建停车场、公交场站、社会公共停车场与高速公路服务区等场所配建充换电基础设施,当地</w:t>
      </w:r>
      <w:r>
        <w:rPr>
          <w:rFonts w:hint="eastAsia" w:ascii="仿宋" w:hAnsi="仿宋" w:eastAsia="仿宋" w:cs="仿宋"/>
          <w:kern w:val="0"/>
          <w:sz w:val="32"/>
          <w:szCs w:val="32"/>
          <w:lang w:bidi="zh-CN"/>
        </w:rPr>
        <w:t>自然资源部门</w:t>
      </w:r>
      <w:r>
        <w:rPr>
          <w:rFonts w:ascii="仿宋" w:hAnsi="仿宋" w:eastAsia="仿宋" w:cs="仿宋"/>
          <w:kern w:val="0"/>
          <w:sz w:val="32"/>
          <w:szCs w:val="32"/>
          <w:lang w:bidi="zh-CN"/>
        </w:rPr>
        <w:t>将协调有关单位在用地方面予以支持。</w:t>
      </w:r>
    </w:p>
    <w:p>
      <w:pPr>
        <w:pStyle w:val="9"/>
        <w:overflowPunct w:val="0"/>
        <w:autoSpaceDE w:val="0"/>
        <w:autoSpaceDN w:val="0"/>
        <w:spacing w:line="333" w:lineRule="auto"/>
        <w:ind w:firstLine="643" w:firstLineChars="200"/>
        <w:rPr>
          <w:rFonts w:ascii="仿宋" w:hAnsi="仿宋" w:eastAsia="仿宋" w:cs="仿宋"/>
          <w:kern w:val="0"/>
          <w:sz w:val="32"/>
          <w:szCs w:val="32"/>
          <w:lang w:bidi="zh-CN"/>
        </w:rPr>
      </w:pPr>
      <w:r>
        <w:rPr>
          <w:rFonts w:ascii="仿宋" w:hAnsi="仿宋" w:eastAsia="仿宋" w:cs="仿宋"/>
          <w:b/>
          <w:bCs/>
          <w:kern w:val="0"/>
          <w:sz w:val="32"/>
          <w:szCs w:val="32"/>
          <w:lang w:bidi="zh-CN"/>
        </w:rPr>
        <w:t>第二十</w:t>
      </w:r>
      <w:r>
        <w:rPr>
          <w:rFonts w:hint="eastAsia" w:ascii="仿宋" w:hAnsi="仿宋" w:eastAsia="仿宋" w:cs="仿宋"/>
          <w:b/>
          <w:bCs/>
          <w:kern w:val="0"/>
          <w:sz w:val="32"/>
          <w:szCs w:val="32"/>
          <w:lang w:bidi="zh-CN"/>
        </w:rPr>
        <w:t>四</w:t>
      </w:r>
      <w:r>
        <w:rPr>
          <w:rFonts w:ascii="仿宋" w:hAnsi="仿宋" w:eastAsia="仿宋" w:cs="仿宋"/>
          <w:b/>
          <w:bCs/>
          <w:kern w:val="0"/>
          <w:sz w:val="32"/>
          <w:szCs w:val="32"/>
          <w:lang w:bidi="zh-CN"/>
        </w:rPr>
        <w:t>条</w:t>
      </w:r>
      <w:r>
        <w:rPr>
          <w:rFonts w:ascii="仿宋" w:hAnsi="仿宋" w:eastAsia="仿宋" w:cs="仿宋"/>
          <w:kern w:val="0"/>
          <w:sz w:val="32"/>
          <w:szCs w:val="32"/>
          <w:lang w:bidi="zh-CN"/>
        </w:rPr>
        <w:t xml:space="preserve"> 继续实施充换电基础设施建设省级财政支持政策，省级财政补贴资金管理办法另行制定。</w:t>
      </w:r>
    </w:p>
    <w:p>
      <w:pPr>
        <w:pStyle w:val="9"/>
        <w:overflowPunct w:val="0"/>
        <w:autoSpaceDE w:val="0"/>
        <w:autoSpaceDN w:val="0"/>
        <w:spacing w:line="333" w:lineRule="auto"/>
        <w:ind w:firstLine="643" w:firstLineChars="200"/>
        <w:rPr>
          <w:rStyle w:val="8"/>
          <w:rFonts w:ascii="宋体" w:hAnsi="宋体"/>
          <w:sz w:val="32"/>
          <w:szCs w:val="32"/>
        </w:rPr>
      </w:pPr>
      <w:r>
        <w:rPr>
          <w:rStyle w:val="8"/>
          <w:rFonts w:ascii="宋体" w:hAnsi="宋体"/>
          <w:sz w:val="32"/>
          <w:szCs w:val="32"/>
        </w:rPr>
        <w:t>第七章 附则</w:t>
      </w:r>
    </w:p>
    <w:p>
      <w:pPr>
        <w:pStyle w:val="9"/>
        <w:overflowPunct w:val="0"/>
        <w:autoSpaceDE w:val="0"/>
        <w:autoSpaceDN w:val="0"/>
        <w:spacing w:line="333" w:lineRule="auto"/>
        <w:ind w:firstLine="643" w:firstLineChars="200"/>
        <w:rPr>
          <w:rFonts w:ascii="仿宋" w:hAnsi="仿宋" w:eastAsia="仿宋" w:cs="仿宋"/>
          <w:kern w:val="0"/>
          <w:sz w:val="32"/>
          <w:szCs w:val="32"/>
          <w:lang w:bidi="zh-CN"/>
        </w:rPr>
      </w:pPr>
      <w:r>
        <w:rPr>
          <w:rFonts w:ascii="仿宋" w:hAnsi="仿宋" w:eastAsia="仿宋" w:cs="仿宋"/>
          <w:b/>
          <w:bCs/>
          <w:kern w:val="0"/>
          <w:sz w:val="32"/>
          <w:szCs w:val="32"/>
          <w:lang w:bidi="zh-CN"/>
        </w:rPr>
        <w:t>第二十</w:t>
      </w:r>
      <w:r>
        <w:rPr>
          <w:rFonts w:hint="eastAsia" w:ascii="仿宋" w:hAnsi="仿宋" w:eastAsia="仿宋" w:cs="仿宋"/>
          <w:b/>
          <w:bCs/>
          <w:kern w:val="0"/>
          <w:sz w:val="32"/>
          <w:szCs w:val="32"/>
          <w:lang w:bidi="zh-CN"/>
        </w:rPr>
        <w:t>五</w:t>
      </w:r>
      <w:r>
        <w:rPr>
          <w:rFonts w:ascii="仿宋" w:hAnsi="仿宋" w:eastAsia="仿宋" w:cs="仿宋"/>
          <w:b/>
          <w:bCs/>
          <w:kern w:val="0"/>
          <w:sz w:val="32"/>
          <w:szCs w:val="32"/>
          <w:lang w:bidi="zh-CN"/>
        </w:rPr>
        <w:t>条</w:t>
      </w:r>
      <w:r>
        <w:rPr>
          <w:rFonts w:ascii="仿宋" w:hAnsi="仿宋" w:eastAsia="仿宋" w:cs="仿宋"/>
          <w:kern w:val="0"/>
          <w:sz w:val="32"/>
          <w:szCs w:val="32"/>
          <w:lang w:bidi="zh-CN"/>
        </w:rPr>
        <w:t xml:space="preserve"> 本办法由省能源局负责解释。</w:t>
      </w:r>
    </w:p>
    <w:p>
      <w:pPr>
        <w:pStyle w:val="9"/>
        <w:overflowPunct w:val="0"/>
        <w:autoSpaceDE w:val="0"/>
        <w:autoSpaceDN w:val="0"/>
        <w:spacing w:line="333" w:lineRule="auto"/>
        <w:ind w:firstLine="643" w:firstLineChars="200"/>
        <w:rPr>
          <w:rFonts w:ascii="仿宋" w:hAnsi="仿宋" w:eastAsia="仿宋" w:cs="仿宋"/>
          <w:kern w:val="0"/>
          <w:sz w:val="32"/>
          <w:szCs w:val="32"/>
          <w:lang w:bidi="zh-CN"/>
        </w:rPr>
      </w:pPr>
      <w:r>
        <w:rPr>
          <w:rFonts w:ascii="仿宋" w:hAnsi="仿宋" w:eastAsia="仿宋" w:cs="仿宋"/>
          <w:b/>
          <w:bCs/>
          <w:kern w:val="0"/>
          <w:sz w:val="32"/>
          <w:szCs w:val="32"/>
          <w:lang w:bidi="zh-CN"/>
        </w:rPr>
        <w:t>第二十</w:t>
      </w:r>
      <w:r>
        <w:rPr>
          <w:rFonts w:hint="eastAsia" w:ascii="仿宋" w:hAnsi="仿宋" w:eastAsia="仿宋" w:cs="仿宋"/>
          <w:b/>
          <w:bCs/>
          <w:kern w:val="0"/>
          <w:sz w:val="32"/>
          <w:szCs w:val="32"/>
          <w:lang w:bidi="zh-CN"/>
        </w:rPr>
        <w:t>六</w:t>
      </w:r>
      <w:r>
        <w:rPr>
          <w:rFonts w:ascii="仿宋" w:hAnsi="仿宋" w:eastAsia="仿宋" w:cs="仿宋"/>
          <w:b/>
          <w:bCs/>
          <w:kern w:val="0"/>
          <w:sz w:val="32"/>
          <w:szCs w:val="32"/>
          <w:lang w:bidi="zh-CN"/>
        </w:rPr>
        <w:t>条</w:t>
      </w:r>
      <w:r>
        <w:rPr>
          <w:rFonts w:ascii="仿宋" w:hAnsi="仿宋" w:eastAsia="仿宋" w:cs="仿宋"/>
          <w:kern w:val="0"/>
          <w:sz w:val="32"/>
          <w:szCs w:val="32"/>
          <w:lang w:bidi="zh-CN"/>
        </w:rPr>
        <w:t xml:space="preserve"> 本办法自发布之日起施行</w:t>
      </w:r>
      <w:r>
        <w:rPr>
          <w:rFonts w:hint="eastAsia" w:ascii="仿宋" w:hAnsi="仿宋" w:eastAsia="仿宋" w:cs="仿宋"/>
          <w:kern w:val="0"/>
          <w:sz w:val="32"/>
          <w:szCs w:val="32"/>
          <w:lang w:bidi="zh-CN"/>
        </w:rPr>
        <w:t>，原《</w:t>
      </w:r>
      <w:r>
        <w:rPr>
          <w:rFonts w:ascii="仿宋" w:hAnsi="仿宋" w:eastAsia="仿宋" w:cs="仿宋"/>
          <w:kern w:val="0"/>
          <w:sz w:val="32"/>
          <w:szCs w:val="32"/>
          <w:lang w:bidi="zh-CN"/>
        </w:rPr>
        <w:t>吉林省电动汽车充换电基础设施建设运营管理暂行办法</w:t>
      </w:r>
      <w:r>
        <w:rPr>
          <w:rFonts w:hint="eastAsia" w:ascii="仿宋" w:hAnsi="仿宋" w:eastAsia="仿宋" w:cs="仿宋"/>
          <w:kern w:val="0"/>
          <w:sz w:val="32"/>
          <w:szCs w:val="32"/>
          <w:lang w:bidi="zh-CN"/>
        </w:rPr>
        <w:t>》</w:t>
      </w:r>
      <w:r>
        <w:rPr>
          <w:rFonts w:hint="eastAsia" w:ascii="仿宋_GB2312" w:eastAsia="仿宋_GB2312"/>
          <w:sz w:val="32"/>
          <w:szCs w:val="32"/>
        </w:rPr>
        <w:t>（吉能电力联〔2016〕235号）</w:t>
      </w:r>
      <w:r>
        <w:rPr>
          <w:rFonts w:hint="eastAsia" w:ascii="仿宋" w:hAnsi="仿宋" w:eastAsia="仿宋" w:cs="仿宋"/>
          <w:kern w:val="0"/>
          <w:sz w:val="32"/>
          <w:szCs w:val="32"/>
          <w:lang w:bidi="zh-CN"/>
        </w:rPr>
        <w:t>自动废止</w:t>
      </w:r>
      <w:r>
        <w:rPr>
          <w:rFonts w:ascii="仿宋" w:hAnsi="仿宋" w:eastAsia="仿宋" w:cs="仿宋"/>
          <w:kern w:val="0"/>
          <w:sz w:val="32"/>
          <w:szCs w:val="32"/>
          <w:lang w:bidi="zh-CN"/>
        </w:rPr>
        <w:t xml:space="preserve">。 </w:t>
      </w:r>
    </w:p>
    <w:p>
      <w:pPr>
        <w:pStyle w:val="9"/>
        <w:overflowPunct w:val="0"/>
        <w:autoSpaceDE w:val="0"/>
        <w:autoSpaceDN w:val="0"/>
        <w:spacing w:line="333" w:lineRule="auto"/>
        <w:ind w:firstLine="630"/>
        <w:rPr>
          <w:rFonts w:ascii="仿宋" w:hAnsi="仿宋" w:eastAsia="仿宋" w:cs="仿宋"/>
          <w:kern w:val="0"/>
          <w:sz w:val="32"/>
          <w:szCs w:val="32"/>
          <w:lang w:bidi="zh-CN"/>
        </w:rPr>
      </w:pPr>
    </w:p>
    <w:p>
      <w:pPr>
        <w:pStyle w:val="9"/>
        <w:overflowPunct w:val="0"/>
        <w:autoSpaceDE w:val="0"/>
        <w:autoSpaceDN w:val="0"/>
        <w:spacing w:line="333" w:lineRule="auto"/>
        <w:ind w:firstLine="630"/>
        <w:rPr>
          <w:rFonts w:ascii="仿宋" w:hAnsi="仿宋" w:eastAsia="仿宋" w:cs="仿宋"/>
          <w:kern w:val="0"/>
          <w:sz w:val="32"/>
          <w:szCs w:val="32"/>
          <w:lang w:bidi="zh-CN"/>
        </w:rPr>
      </w:pPr>
      <w:r>
        <w:rPr>
          <w:rFonts w:ascii="仿宋" w:hAnsi="仿宋" w:eastAsia="仿宋" w:cs="仿宋"/>
          <w:kern w:val="0"/>
          <w:sz w:val="32"/>
          <w:szCs w:val="32"/>
          <w:lang w:bidi="zh-CN"/>
        </w:rPr>
        <w:t>　　</w:t>
      </w:r>
    </w:p>
    <w:sectPr>
      <w:footerReference r:id="rId3" w:type="default"/>
      <w:pgSz w:w="11906" w:h="16838"/>
      <w:pgMar w:top="1440" w:right="1800" w:bottom="1440" w:left="1800" w:header="0" w:footer="992" w:gutter="0"/>
      <w:cols w:space="720" w:num="1"/>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251659264" behindDoc="1" locked="0" layoutInCell="0" allowOverlap="1">
              <wp:simplePos x="0" y="0"/>
              <wp:positionH relativeFrom="margin">
                <wp:align>center</wp:align>
              </wp:positionH>
              <wp:positionV relativeFrom="paragraph">
                <wp:posOffset>635</wp:posOffset>
              </wp:positionV>
              <wp:extent cx="1829435" cy="130810"/>
              <wp:effectExtent l="0" t="0" r="0" b="0"/>
              <wp:wrapNone/>
              <wp:docPr id="4097" name="文本框 1"/>
              <wp:cNvGraphicFramePr/>
              <a:graphic xmlns:a="http://schemas.openxmlformats.org/drawingml/2006/main">
                <a:graphicData uri="http://schemas.microsoft.com/office/word/2010/wordprocessingShape">
                  <wps:wsp>
                    <wps:cNvSpPr/>
                    <wps:spPr>
                      <a:xfrm>
                        <a:off x="0" y="0"/>
                        <a:ext cx="1829435" cy="130810"/>
                      </a:xfrm>
                      <a:prstGeom prst="rect">
                        <a:avLst/>
                      </a:prstGeom>
                      <a:ln>
                        <a:noFill/>
                      </a:ln>
                    </wps:spPr>
                    <wps:txbx>
                      <w:txbxContent>
                        <w:p>
                          <w:pPr>
                            <w:pStyle w:val="11"/>
                            <w:snapToGrid w:val="0"/>
                            <w:rPr>
                              <w:sz w:val="18"/>
                            </w:rPr>
                          </w:pPr>
                          <w:r>
                            <w:rPr>
                              <w:color w:val="000000"/>
                              <w:sz w:val="18"/>
                            </w:rPr>
                            <w:fldChar w:fldCharType="begin"/>
                          </w:r>
                          <w:r>
                            <w:rPr>
                              <w:color w:val="000000"/>
                              <w:sz w:val="18"/>
                            </w:rPr>
                            <w:instrText xml:space="preserve">PAGE</w:instrText>
                          </w:r>
                          <w:r>
                            <w:rPr>
                              <w:color w:val="000000"/>
                              <w:sz w:val="18"/>
                            </w:rPr>
                            <w:fldChar w:fldCharType="separate"/>
                          </w:r>
                          <w:r>
                            <w:rPr>
                              <w:color w:val="000000"/>
                              <w:sz w:val="18"/>
                            </w:rPr>
                            <w:t>10</w:t>
                          </w:r>
                          <w:r>
                            <w:rPr>
                              <w:color w:val="000000"/>
                              <w:sz w:val="18"/>
                            </w:rPr>
                            <w:fldChar w:fldCharType="end"/>
                          </w:r>
                        </w:p>
                      </w:txbxContent>
                    </wps:txbx>
                    <wps:bodyPr lIns="0" tIns="0" rIns="0" bIns="0">
                      <a:spAutoFit/>
                    </wps:bodyPr>
                  </wps:wsp>
                </a:graphicData>
              </a:graphic>
            </wp:anchor>
          </w:drawing>
        </mc:Choice>
        <mc:Fallback>
          <w:pict>
            <v:rect id="文本框 1" o:spid="_x0000_s1026" o:spt="1" style="position:absolute;left:0pt;margin-top:0.05pt;height:10.3pt;width:144.05pt;mso-position-horizontal:center;mso-position-horizontal-relative:margin;z-index:-251657216;mso-width-relative:page;mso-height-relative:page;" filled="f" stroked="f" coordsize="21600,21600" o:allowincell="f" o:gfxdata="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wCYyd0wAAAAQBAAAPAAAAAAAAAAEAIAAAACIAAABkcnMvZG93bnJldi54bWxQSwECFAAUAAAA&#10;CACHTuJAT2RqmLoBAABuAwAADgAAAAAAAAABACAAAAAiAQAAZHJzL2Uyb0RvYy54bWxQSwUGAAAA&#10;AAYABgBZAQAATgUAAAAA&#10;">
              <v:fill on="f" focussize="0,0"/>
              <v:stroke on="f"/>
              <v:imagedata o:title=""/>
              <o:lock v:ext="edit" aspectratio="f"/>
              <v:textbox inset="0mm,0mm,0mm,0mm" style="mso-fit-shape-to-text:t;">
                <w:txbxContent>
                  <w:p>
                    <w:pPr>
                      <w:pStyle w:val="11"/>
                      <w:snapToGrid w:val="0"/>
                      <w:rPr>
                        <w:sz w:val="18"/>
                      </w:rPr>
                    </w:pPr>
                    <w:r>
                      <w:rPr>
                        <w:color w:val="000000"/>
                        <w:sz w:val="18"/>
                      </w:rPr>
                      <w:fldChar w:fldCharType="begin"/>
                    </w:r>
                    <w:r>
                      <w:rPr>
                        <w:color w:val="000000"/>
                        <w:sz w:val="18"/>
                      </w:rPr>
                      <w:instrText xml:space="preserve">PAGE</w:instrText>
                    </w:r>
                    <w:r>
                      <w:rPr>
                        <w:color w:val="000000"/>
                        <w:sz w:val="18"/>
                      </w:rPr>
                      <w:fldChar w:fldCharType="separate"/>
                    </w:r>
                    <w:r>
                      <w:rPr>
                        <w:color w:val="000000"/>
                        <w:sz w:val="18"/>
                      </w:rPr>
                      <w:t>10</w:t>
                    </w:r>
                    <w:r>
                      <w:rPr>
                        <w:color w:val="000000"/>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characterSpacingControl w:val="doNotCompress"/>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lMGMyYzQxYzBlZDlhMTYxOWFjNWU2MmZkODZjNjMifQ=="/>
  </w:docVars>
  <w:rsids>
    <w:rsidRoot w:val="000C48F4"/>
    <w:rsid w:val="00021607"/>
    <w:rsid w:val="000536E4"/>
    <w:rsid w:val="000C48F4"/>
    <w:rsid w:val="00106C4B"/>
    <w:rsid w:val="0017689E"/>
    <w:rsid w:val="003521CE"/>
    <w:rsid w:val="0036155D"/>
    <w:rsid w:val="00445636"/>
    <w:rsid w:val="004F28F2"/>
    <w:rsid w:val="005C311B"/>
    <w:rsid w:val="00697B9B"/>
    <w:rsid w:val="007D11E0"/>
    <w:rsid w:val="007F4DB0"/>
    <w:rsid w:val="008A38B2"/>
    <w:rsid w:val="009910DB"/>
    <w:rsid w:val="009A1A68"/>
    <w:rsid w:val="00A90439"/>
    <w:rsid w:val="00AC7847"/>
    <w:rsid w:val="00AD6720"/>
    <w:rsid w:val="00C81F6E"/>
    <w:rsid w:val="00CD7FF6"/>
    <w:rsid w:val="00E16304"/>
    <w:rsid w:val="00F92675"/>
    <w:rsid w:val="1B14603F"/>
    <w:rsid w:val="27140104"/>
    <w:rsid w:val="28D226BA"/>
    <w:rsid w:val="381716EC"/>
    <w:rsid w:val="478A7CAB"/>
    <w:rsid w:val="78B031F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qFormat/>
    <w:uiPriority w:val="0"/>
    <w:rPr>
      <w:sz w:val="21"/>
      <w:szCs w:val="21"/>
    </w:rPr>
  </w:style>
  <w:style w:type="character" w:customStyle="1" w:styleId="8">
    <w:name w:val="要点1"/>
    <w:basedOn w:val="6"/>
    <w:qFormat/>
    <w:uiPriority w:val="0"/>
    <w:rPr>
      <w:b/>
    </w:rPr>
  </w:style>
  <w:style w:type="paragraph" w:customStyle="1" w:styleId="9">
    <w:name w:val="正文1"/>
    <w:qFormat/>
    <w:uiPriority w:val="0"/>
    <w:pPr>
      <w:widowControl w:val="0"/>
      <w:jc w:val="both"/>
    </w:pPr>
    <w:rPr>
      <w:rFonts w:ascii="Times New Roman" w:hAnsi="Times New Roman" w:eastAsia="宋体" w:cs="宋体"/>
      <w:kern w:val="2"/>
      <w:sz w:val="21"/>
      <w:szCs w:val="22"/>
      <w:lang w:val="en-US" w:eastAsia="zh-CN" w:bidi="ar-SA"/>
    </w:rPr>
  </w:style>
  <w:style w:type="paragraph" w:customStyle="1" w:styleId="10">
    <w:name w:val="页脚1"/>
    <w:basedOn w:val="9"/>
    <w:qFormat/>
    <w:uiPriority w:val="0"/>
    <w:pPr>
      <w:tabs>
        <w:tab w:val="center" w:pos="4153"/>
        <w:tab w:val="right" w:pos="8306"/>
      </w:tabs>
      <w:snapToGrid w:val="0"/>
      <w:jc w:val="left"/>
    </w:pPr>
    <w:rPr>
      <w:sz w:val="18"/>
    </w:rPr>
  </w:style>
  <w:style w:type="paragraph" w:customStyle="1" w:styleId="11">
    <w:name w:val="框架内容"/>
    <w:basedOn w:val="9"/>
    <w:qFormat/>
    <w:uiPriority w:val="0"/>
  </w:style>
  <w:style w:type="character" w:customStyle="1" w:styleId="12">
    <w:name w:val="页眉 字符"/>
    <w:basedOn w:val="6"/>
    <w:link w:val="4"/>
    <w:qFormat/>
    <w:uiPriority w:val="0"/>
    <w:rPr>
      <w:sz w:val="18"/>
      <w:szCs w:val="18"/>
    </w:rPr>
  </w:style>
  <w:style w:type="character" w:customStyle="1" w:styleId="13">
    <w:name w:val="页脚 字符"/>
    <w:basedOn w:val="6"/>
    <w:link w:val="3"/>
    <w:qFormat/>
    <w:uiPriority w:val="0"/>
    <w:rPr>
      <w:sz w:val="18"/>
      <w:szCs w:val="18"/>
    </w:rPr>
  </w:style>
  <w:style w:type="paragraph" w:customStyle="1" w:styleId="14">
    <w:name w:val="Revision_3b48c477-3b2c-4651-a8bf-38dc89994beb"/>
    <w:qFormat/>
    <w:uiPriority w:val="99"/>
    <w:rPr>
      <w:rFonts w:ascii="Calibri" w:hAnsi="Calibri" w:eastAsia="宋体" w:cs="宋体"/>
      <w:lang w:val="en-US" w:eastAsia="zh-CN" w:bidi="ar-SA"/>
    </w:rPr>
  </w:style>
  <w:style w:type="paragraph" w:customStyle="1" w:styleId="15">
    <w:name w:val="Revision"/>
    <w:hidden/>
    <w:semiHidden/>
    <w:qFormat/>
    <w:uiPriority w:val="99"/>
    <w:rPr>
      <w:rFonts w:ascii="Calibri" w:hAnsi="Calibri"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4548</Words>
  <Characters>4585</Characters>
  <Lines>33</Lines>
  <Paragraphs>9</Paragraphs>
  <TotalTime>26</TotalTime>
  <ScaleCrop>false</ScaleCrop>
  <LinksUpToDate>false</LinksUpToDate>
  <CharactersWithSpaces>4671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2022-07-29T04:22:00Z</dcterms:created>
  <dc:creator>ThinkPad</dc:creator>
  <cp:lastModifiedBy>Administrator</cp:lastModifiedBy>
  <cp:lastPrinted>2022-06-21T02:33:00Z</cp:lastPrinted>
  <dcterms:modified xsi:type="dcterms:W3CDTF">2022-08-15T03:09:26Z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2a65ac4110834174b20bca4aef547cef</vt:lpwstr>
  </property>
</Properties>
</file>