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243562">
      <w:pPr>
        <w:keepNext w:val="0"/>
        <w:keepLines w:val="0"/>
        <w:pageBreakBefore w:val="0"/>
        <w:widowControl w:val="0"/>
        <w:kinsoku/>
        <w:wordWrap/>
        <w:overflowPunct/>
        <w:topLinePunct w:val="0"/>
        <w:autoSpaceDE/>
        <w:autoSpaceDN/>
        <w:bidi w:val="0"/>
        <w:adjustRightInd/>
        <w:snapToGrid/>
        <w:spacing w:line="760" w:lineRule="exact"/>
        <w:jc w:val="both"/>
        <w:textAlignment w:val="auto"/>
        <w:rPr>
          <w:rFonts w:hint="default" w:ascii="Times New Roman" w:hAnsi="Times New Roman" w:eastAsia="黑体" w:cs="黑体"/>
          <w:color w:val="auto"/>
          <w:sz w:val="30"/>
          <w:szCs w:val="30"/>
          <w:highlight w:val="none"/>
          <w:lang w:val="en-US" w:eastAsia="zh-CN"/>
        </w:rPr>
      </w:pPr>
      <w:r>
        <w:rPr>
          <w:rFonts w:hint="eastAsia" w:ascii="Times New Roman" w:hAnsi="Times New Roman" w:eastAsia="黑体" w:cs="黑体"/>
          <w:color w:val="auto"/>
          <w:sz w:val="30"/>
          <w:szCs w:val="30"/>
          <w:highlight w:val="none"/>
          <w:lang w:eastAsia="zh-CN"/>
        </w:rPr>
        <w:t>附件</w:t>
      </w:r>
    </w:p>
    <w:p w14:paraId="115EB08C">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Times New Roman" w:hAnsi="Times New Roman" w:eastAsia="方正小标宋简体" w:cs="方正小标宋简体"/>
          <w:color w:val="auto"/>
          <w:sz w:val="44"/>
          <w:szCs w:val="44"/>
          <w:highlight w:val="none"/>
        </w:rPr>
      </w:pPr>
      <w:r>
        <w:rPr>
          <w:rFonts w:hint="eastAsia" w:ascii="Times New Roman" w:hAnsi="Times New Roman" w:eastAsia="方正小标宋简体" w:cs="方正小标宋简体"/>
          <w:color w:val="auto"/>
          <w:sz w:val="44"/>
          <w:szCs w:val="44"/>
          <w:highlight w:val="none"/>
        </w:rPr>
        <w:t>吉林省电动汽车</w:t>
      </w:r>
      <w:r>
        <w:rPr>
          <w:rFonts w:hint="eastAsia" w:eastAsia="方正小标宋简体" w:cs="方正小标宋简体"/>
          <w:color w:val="auto"/>
          <w:sz w:val="44"/>
          <w:szCs w:val="44"/>
          <w:highlight w:val="none"/>
          <w:lang w:eastAsia="zh-CN"/>
        </w:rPr>
        <w:t>充</w:t>
      </w:r>
      <w:r>
        <w:rPr>
          <w:rFonts w:hint="eastAsia" w:ascii="Times New Roman" w:hAnsi="Times New Roman" w:eastAsia="方正小标宋简体" w:cs="方正小标宋简体"/>
          <w:color w:val="auto"/>
          <w:sz w:val="44"/>
          <w:szCs w:val="44"/>
          <w:highlight w:val="none"/>
        </w:rPr>
        <w:t>电站建设</w:t>
      </w:r>
      <w:r>
        <w:rPr>
          <w:rFonts w:hint="eastAsia" w:eastAsia="方正小标宋简体" w:cs="方正小标宋简体"/>
          <w:color w:val="auto"/>
          <w:sz w:val="44"/>
          <w:szCs w:val="44"/>
          <w:highlight w:val="none"/>
          <w:lang w:eastAsia="zh-CN"/>
        </w:rPr>
        <w:t>运营</w:t>
      </w:r>
      <w:r>
        <w:rPr>
          <w:rFonts w:hint="eastAsia" w:ascii="Times New Roman" w:hAnsi="Times New Roman" w:eastAsia="方正小标宋简体" w:cs="方正小标宋简体"/>
          <w:color w:val="auto"/>
          <w:sz w:val="44"/>
          <w:szCs w:val="44"/>
          <w:highlight w:val="none"/>
        </w:rPr>
        <w:t>补贴</w:t>
      </w:r>
    </w:p>
    <w:p w14:paraId="6A153853">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Times New Roman" w:hAnsi="Times New Roman" w:eastAsia="方正小标宋简体" w:cs="方正小标宋简体"/>
          <w:color w:val="auto"/>
          <w:sz w:val="44"/>
          <w:szCs w:val="44"/>
          <w:highlight w:val="none"/>
          <w:lang w:eastAsia="zh-CN"/>
        </w:rPr>
      </w:pPr>
      <w:r>
        <w:rPr>
          <w:rFonts w:hint="eastAsia" w:ascii="Times New Roman" w:hAnsi="Times New Roman" w:eastAsia="方正小标宋简体" w:cs="方正小标宋简体"/>
          <w:color w:val="auto"/>
          <w:sz w:val="44"/>
          <w:szCs w:val="44"/>
          <w:highlight w:val="none"/>
        </w:rPr>
        <w:t>实施细则</w:t>
      </w:r>
      <w:r>
        <w:rPr>
          <w:rFonts w:hint="eastAsia" w:eastAsia="方正小标宋简体" w:cs="方正小标宋简体"/>
          <w:color w:val="auto"/>
          <w:sz w:val="44"/>
          <w:szCs w:val="44"/>
          <w:highlight w:val="none"/>
          <w:lang w:eastAsia="zh-CN"/>
        </w:rPr>
        <w:t>（修订版）</w:t>
      </w:r>
    </w:p>
    <w:p w14:paraId="4DC6C95C">
      <w:pPr>
        <w:pStyle w:val="2"/>
        <w:rPr>
          <w:rFonts w:hint="eastAsia"/>
        </w:rPr>
      </w:pPr>
    </w:p>
    <w:p w14:paraId="4BC10782">
      <w:pPr>
        <w:jc w:val="center"/>
        <w:rPr>
          <w:rFonts w:ascii="Times New Roman" w:hAnsi="Times New Roman" w:eastAsia="仿宋_GB2312"/>
          <w:color w:val="auto"/>
          <w:highlight w:val="none"/>
        </w:rPr>
      </w:pPr>
      <w:r>
        <w:rPr>
          <w:rFonts w:hint="eastAsia" w:ascii="Times New Roman" w:hAnsi="Times New Roman" w:eastAsia="黑体" w:cs="黑体"/>
          <w:color w:val="auto"/>
          <w:highlight w:val="none"/>
        </w:rPr>
        <w:t>第一章  总则</w:t>
      </w:r>
    </w:p>
    <w:p w14:paraId="286BD7A6">
      <w:pPr>
        <w:rPr>
          <w:rFonts w:hint="eastAsia" w:ascii="Times New Roman" w:hAnsi="Times New Roman" w:eastAsia="仿宋_GB2312" w:cs="宋体"/>
          <w:color w:val="auto"/>
          <w:highlight w:val="none"/>
        </w:rPr>
      </w:pPr>
    </w:p>
    <w:p w14:paraId="17805699">
      <w:pPr>
        <w:widowControl/>
        <w:ind w:left="0" w:right="0" w:firstLine="643"/>
        <w:rPr>
          <w:rFonts w:ascii="Times New Roman" w:hAnsi="Times New Roman" w:eastAsia="仿宋_GB2312"/>
          <w:color w:val="auto"/>
          <w:highlight w:val="none"/>
        </w:rPr>
      </w:pPr>
      <w:r>
        <w:rPr>
          <w:rFonts w:hint="eastAsia" w:ascii="Times New Roman" w:hAnsi="Times New Roman" w:eastAsia="仿宋_GB2312" w:cs="宋体"/>
          <w:b/>
          <w:color w:val="auto"/>
          <w:highlight w:val="none"/>
        </w:rPr>
        <w:t>第一条</w:t>
      </w:r>
      <w:r>
        <w:rPr>
          <w:rFonts w:hint="eastAsia" w:ascii="Times New Roman" w:hAnsi="Times New Roman" w:eastAsia="仿宋_GB2312" w:cs="宋体"/>
          <w:color w:val="auto"/>
          <w:highlight w:val="none"/>
        </w:rPr>
        <w:t xml:space="preserve"> </w:t>
      </w:r>
      <w:r>
        <w:rPr>
          <w:rFonts w:hint="eastAsia" w:cs="宋体"/>
          <w:color w:val="auto"/>
          <w:highlight w:val="none"/>
          <w:lang w:val="en-US" w:eastAsia="zh-CN"/>
        </w:rPr>
        <w:t xml:space="preserve"> 政策依据。</w:t>
      </w:r>
      <w:r>
        <w:rPr>
          <w:rFonts w:hint="eastAsia" w:cs="宋体"/>
          <w:color w:val="auto"/>
          <w:highlight w:val="none"/>
          <w:lang w:eastAsia="zh-CN"/>
        </w:rPr>
        <w:t>为</w:t>
      </w:r>
      <w:r>
        <w:rPr>
          <w:rFonts w:hint="eastAsia" w:ascii="Times New Roman" w:hAnsi="Times New Roman" w:eastAsia="仿宋_GB2312" w:cs="宋体"/>
          <w:color w:val="auto"/>
          <w:highlight w:val="none"/>
        </w:rPr>
        <w:t>加快推进我省电动汽车</w:t>
      </w:r>
      <w:r>
        <w:rPr>
          <w:rFonts w:hint="eastAsia" w:cs="宋体"/>
          <w:color w:val="auto"/>
          <w:highlight w:val="none"/>
          <w:lang w:eastAsia="zh-CN"/>
        </w:rPr>
        <w:t>充</w:t>
      </w:r>
      <w:r>
        <w:rPr>
          <w:rFonts w:hint="eastAsia" w:ascii="Times New Roman" w:hAnsi="Times New Roman" w:eastAsia="仿宋_GB2312" w:cs="宋体"/>
          <w:color w:val="auto"/>
          <w:highlight w:val="none"/>
        </w:rPr>
        <w:t>电</w:t>
      </w:r>
      <w:r>
        <w:rPr>
          <w:rFonts w:hint="eastAsia" w:cs="宋体"/>
          <w:color w:val="auto"/>
          <w:highlight w:val="none"/>
          <w:lang w:eastAsia="zh-CN"/>
        </w:rPr>
        <w:t>站体系建设</w:t>
      </w:r>
      <w:r>
        <w:rPr>
          <w:rFonts w:hint="eastAsia" w:ascii="Times New Roman" w:hAnsi="Times New Roman" w:eastAsia="仿宋_GB2312" w:cs="宋体"/>
          <w:color w:val="auto"/>
          <w:highlight w:val="none"/>
        </w:rPr>
        <w:t>，</w:t>
      </w:r>
      <w:r>
        <w:rPr>
          <w:rFonts w:hint="eastAsia" w:cs="宋体"/>
          <w:color w:val="auto"/>
          <w:highlight w:val="none"/>
          <w:lang w:val="en-US" w:eastAsia="zh-CN"/>
        </w:rPr>
        <w:t>根据</w:t>
      </w:r>
      <w:r>
        <w:rPr>
          <w:rFonts w:hint="eastAsia" w:ascii="Times New Roman" w:hAnsi="Times New Roman" w:cs="宋体"/>
          <w:color w:val="auto"/>
          <w:highlight w:val="none"/>
          <w:lang w:eastAsia="zh-CN"/>
        </w:rPr>
        <w:t>《</w:t>
      </w:r>
      <w:r>
        <w:rPr>
          <w:rFonts w:hint="eastAsia" w:ascii="Times New Roman" w:hAnsi="Times New Roman" w:eastAsia="仿宋_GB2312" w:cs="宋体"/>
          <w:color w:val="auto"/>
          <w:highlight w:val="none"/>
          <w:lang w:eastAsia="zh-CN"/>
        </w:rPr>
        <w:t>吉林省进一步构建高质量充换电基础设施体系的实施方案</w:t>
      </w:r>
      <w:r>
        <w:rPr>
          <w:rFonts w:hint="eastAsia" w:ascii="Times New Roman" w:hAnsi="Times New Roman" w:cs="宋体"/>
          <w:color w:val="auto"/>
          <w:highlight w:val="none"/>
          <w:lang w:eastAsia="zh-CN"/>
        </w:rPr>
        <w:t>》</w:t>
      </w:r>
      <w:r>
        <w:rPr>
          <w:rFonts w:hint="default" w:ascii="Times New Roman" w:hAnsi="Times New Roman" w:eastAsia="仿宋_GB2312" w:cs="Times New Roman"/>
          <w:color w:val="auto"/>
          <w:highlight w:val="none"/>
          <w:lang w:eastAsia="zh-CN"/>
        </w:rPr>
        <w:t>（吉政办发〔2024〕3号）</w:t>
      </w:r>
      <w:r>
        <w:rPr>
          <w:rFonts w:hint="eastAsia" w:cs="宋体"/>
          <w:highlight w:val="none"/>
        </w:rPr>
        <w:t>《</w:t>
      </w:r>
      <w:r>
        <w:rPr>
          <w:rFonts w:hint="eastAsia" w:cs="宋体"/>
          <w:highlight w:val="none"/>
          <w:lang w:eastAsia="zh-CN"/>
        </w:rPr>
        <w:t>新能源高质量发展专项资金实施方案</w:t>
      </w:r>
      <w:r>
        <w:rPr>
          <w:rFonts w:hint="eastAsia" w:cs="宋体"/>
          <w:highlight w:val="none"/>
        </w:rPr>
        <w:t>》</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吉能储能联〔2025〕63号）</w:t>
      </w:r>
      <w:r>
        <w:rPr>
          <w:rFonts w:hint="eastAsia" w:ascii="Times New Roman" w:hAnsi="Times New Roman" w:cs="宋体"/>
          <w:color w:val="auto"/>
          <w:highlight w:val="none"/>
          <w:lang w:eastAsia="zh-CN"/>
        </w:rPr>
        <w:t>等</w:t>
      </w:r>
      <w:r>
        <w:rPr>
          <w:rFonts w:hint="eastAsia" w:cs="宋体"/>
          <w:color w:val="auto"/>
          <w:highlight w:val="none"/>
          <w:lang w:eastAsia="zh-CN"/>
        </w:rPr>
        <w:t>有关规定</w:t>
      </w:r>
      <w:r>
        <w:rPr>
          <w:rFonts w:hint="eastAsia" w:ascii="Times New Roman" w:hAnsi="Times New Roman" w:eastAsia="仿宋_GB2312" w:cs="宋体"/>
          <w:color w:val="auto"/>
          <w:highlight w:val="none"/>
          <w:lang w:eastAsia="zh-CN"/>
        </w:rPr>
        <w:t>，</w:t>
      </w:r>
      <w:r>
        <w:rPr>
          <w:rFonts w:hint="eastAsia" w:ascii="Times New Roman" w:hAnsi="Times New Roman" w:cs="宋体"/>
          <w:color w:val="auto"/>
          <w:highlight w:val="none"/>
          <w:lang w:eastAsia="zh-CN"/>
        </w:rPr>
        <w:t>制定本</w:t>
      </w:r>
      <w:r>
        <w:rPr>
          <w:rFonts w:hint="eastAsia" w:cs="宋体"/>
          <w:color w:val="auto"/>
          <w:highlight w:val="none"/>
          <w:lang w:eastAsia="zh-CN"/>
        </w:rPr>
        <w:t>实施细则</w:t>
      </w:r>
      <w:r>
        <w:rPr>
          <w:rFonts w:hint="eastAsia" w:ascii="Times New Roman" w:hAnsi="Times New Roman" w:eastAsia="仿宋_GB2312" w:cs="宋体"/>
          <w:color w:val="auto"/>
          <w:highlight w:val="none"/>
        </w:rPr>
        <w:t>。</w:t>
      </w:r>
    </w:p>
    <w:p w14:paraId="58B96CCD">
      <w:pPr>
        <w:ind w:left="0" w:right="0" w:firstLine="643"/>
        <w:rPr>
          <w:rFonts w:hint="eastAsia" w:ascii="Times New Roman" w:hAnsi="Times New Roman" w:cs="宋体"/>
          <w:color w:val="auto"/>
          <w:highlight w:val="none"/>
          <w:lang w:eastAsia="zh-CN"/>
        </w:rPr>
      </w:pPr>
      <w:r>
        <w:rPr>
          <w:rFonts w:hint="eastAsia" w:ascii="Times New Roman" w:hAnsi="Times New Roman" w:eastAsia="仿宋_GB2312" w:cs="宋体"/>
          <w:b/>
          <w:color w:val="auto"/>
          <w:highlight w:val="none"/>
        </w:rPr>
        <w:t>第二条</w:t>
      </w:r>
      <w:r>
        <w:rPr>
          <w:rFonts w:hint="eastAsia" w:ascii="Times New Roman" w:hAnsi="Times New Roman" w:eastAsia="仿宋_GB2312" w:cs="宋体"/>
          <w:color w:val="auto"/>
          <w:highlight w:val="none"/>
        </w:rPr>
        <w:t xml:space="preserve"> </w:t>
      </w:r>
      <w:r>
        <w:rPr>
          <w:rFonts w:hint="eastAsia" w:cs="宋体"/>
          <w:color w:val="auto"/>
          <w:highlight w:val="none"/>
          <w:lang w:val="en-US" w:eastAsia="zh-CN"/>
        </w:rPr>
        <w:t xml:space="preserve"> 部门职责。补贴政策由省能源局会同省财政厅实施。省能源局负责组织充电基础设施项目申报，编报年度预算和开展项目审核等工作，并按规定做好绩效评价；省财政厅负责补贴资金的筹集和拨付等。</w:t>
      </w:r>
    </w:p>
    <w:p w14:paraId="30B288D7">
      <w:pPr>
        <w:ind w:left="0" w:right="0" w:firstLine="643"/>
        <w:rPr>
          <w:rFonts w:hint="eastAsia" w:ascii="Times New Roman" w:hAnsi="Times New Roman" w:cs="宋体"/>
          <w:color w:val="auto"/>
          <w:highlight w:val="none"/>
          <w:lang w:eastAsia="zh-CN"/>
        </w:rPr>
      </w:pPr>
    </w:p>
    <w:p w14:paraId="00F9610B">
      <w:pPr>
        <w:ind w:right="0"/>
        <w:jc w:val="center"/>
        <w:rPr>
          <w:rFonts w:hint="eastAsia" w:eastAsia="黑体" w:cs="黑体"/>
          <w:color w:val="auto"/>
          <w:highlight w:val="none"/>
          <w:lang w:eastAsia="zh-CN"/>
        </w:rPr>
      </w:pPr>
      <w:r>
        <w:rPr>
          <w:rFonts w:hint="eastAsia" w:ascii="Times New Roman" w:hAnsi="Times New Roman" w:eastAsia="黑体" w:cs="黑体"/>
          <w:color w:val="auto"/>
          <w:highlight w:val="none"/>
        </w:rPr>
        <w:t>第</w:t>
      </w:r>
      <w:r>
        <w:rPr>
          <w:rFonts w:hint="eastAsia" w:eastAsia="黑体" w:cs="黑体"/>
          <w:color w:val="auto"/>
          <w:highlight w:val="none"/>
          <w:lang w:eastAsia="zh-CN"/>
        </w:rPr>
        <w:t>二</w:t>
      </w:r>
      <w:r>
        <w:rPr>
          <w:rFonts w:hint="eastAsia" w:ascii="Times New Roman" w:hAnsi="Times New Roman" w:eastAsia="黑体" w:cs="黑体"/>
          <w:color w:val="auto"/>
          <w:highlight w:val="none"/>
        </w:rPr>
        <w:t xml:space="preserve">章 </w:t>
      </w:r>
      <w:r>
        <w:rPr>
          <w:rFonts w:hint="eastAsia" w:eastAsia="黑体" w:cs="黑体"/>
          <w:color w:val="auto"/>
          <w:highlight w:val="none"/>
          <w:lang w:val="en-US" w:eastAsia="zh-CN"/>
        </w:rPr>
        <w:t xml:space="preserve"> </w:t>
      </w:r>
      <w:r>
        <w:rPr>
          <w:rFonts w:hint="eastAsia" w:eastAsia="黑体" w:cs="黑体"/>
          <w:color w:val="auto"/>
          <w:highlight w:val="none"/>
          <w:lang w:eastAsia="zh-CN"/>
        </w:rPr>
        <w:t>支持范围、方式和标准</w:t>
      </w:r>
    </w:p>
    <w:p w14:paraId="69B736C3">
      <w:pPr>
        <w:ind w:right="0"/>
        <w:jc w:val="center"/>
        <w:rPr>
          <w:rFonts w:hint="eastAsia" w:eastAsia="黑体" w:cs="黑体"/>
          <w:color w:val="auto"/>
          <w:highlight w:val="none"/>
          <w:lang w:eastAsia="zh-CN"/>
        </w:rPr>
      </w:pPr>
    </w:p>
    <w:p w14:paraId="20781D11">
      <w:pPr>
        <w:ind w:left="0" w:right="0" w:firstLine="643"/>
        <w:rPr>
          <w:rFonts w:hint="eastAsia" w:ascii="Times New Roman" w:hAnsi="Times New Roman" w:eastAsia="仿宋_GB2312" w:cs="宋体"/>
          <w:color w:val="auto"/>
          <w:highlight w:val="none"/>
          <w:lang w:eastAsia="zh-CN"/>
        </w:rPr>
      </w:pPr>
      <w:r>
        <w:rPr>
          <w:rFonts w:hint="eastAsia" w:ascii="Times New Roman" w:hAnsi="Times New Roman" w:eastAsia="仿宋_GB2312" w:cs="宋体"/>
          <w:b/>
          <w:color w:val="auto"/>
          <w:highlight w:val="none"/>
        </w:rPr>
        <w:t>第</w:t>
      </w:r>
      <w:r>
        <w:rPr>
          <w:rFonts w:hint="eastAsia" w:cs="宋体"/>
          <w:b/>
          <w:color w:val="auto"/>
          <w:highlight w:val="none"/>
          <w:lang w:eastAsia="zh-CN"/>
        </w:rPr>
        <w:t>三</w:t>
      </w:r>
      <w:r>
        <w:rPr>
          <w:rFonts w:hint="eastAsia" w:ascii="Times New Roman" w:hAnsi="Times New Roman" w:eastAsia="仿宋_GB2312" w:cs="宋体"/>
          <w:b/>
          <w:color w:val="auto"/>
          <w:highlight w:val="none"/>
        </w:rPr>
        <w:t>条</w:t>
      </w:r>
      <w:r>
        <w:rPr>
          <w:rFonts w:hint="eastAsia" w:ascii="Times New Roman" w:hAnsi="Times New Roman" w:eastAsia="仿宋_GB2312" w:cs="宋体"/>
          <w:color w:val="auto"/>
          <w:highlight w:val="none"/>
        </w:rPr>
        <w:t xml:space="preserve"> </w:t>
      </w:r>
      <w:r>
        <w:rPr>
          <w:rFonts w:hint="eastAsia" w:cs="宋体"/>
          <w:color w:val="auto"/>
          <w:highlight w:val="none"/>
          <w:lang w:val="en-US" w:eastAsia="zh-CN"/>
        </w:rPr>
        <w:t xml:space="preserve"> 支持范围。</w:t>
      </w:r>
      <w:r>
        <w:rPr>
          <w:rFonts w:hint="eastAsia" w:cs="宋体"/>
          <w:color w:val="auto"/>
          <w:highlight w:val="none"/>
          <w:lang w:eastAsia="zh-CN"/>
        </w:rPr>
        <w:t>对省</w:t>
      </w:r>
      <w:r>
        <w:rPr>
          <w:rFonts w:hint="eastAsia" w:ascii="Times New Roman" w:hAnsi="Times New Roman" w:eastAsia="仿宋_GB2312" w:cs="宋体"/>
          <w:color w:val="auto"/>
          <w:highlight w:val="none"/>
        </w:rPr>
        <w:t>内</w:t>
      </w:r>
      <w:r>
        <w:rPr>
          <w:rFonts w:hint="eastAsia" w:cs="宋体"/>
          <w:color w:val="auto"/>
          <w:highlight w:val="none"/>
          <w:lang w:eastAsia="zh-CN"/>
        </w:rPr>
        <w:t>建成投运</w:t>
      </w:r>
      <w:r>
        <w:rPr>
          <w:rFonts w:hint="eastAsia" w:ascii="Times New Roman" w:hAnsi="Times New Roman" w:eastAsia="仿宋_GB2312" w:cs="宋体"/>
          <w:color w:val="auto"/>
          <w:highlight w:val="none"/>
        </w:rPr>
        <w:t>并接入省</w:t>
      </w:r>
      <w:r>
        <w:rPr>
          <w:rFonts w:hint="eastAsia" w:ascii="Times New Roman" w:hAnsi="Times New Roman" w:cs="宋体"/>
          <w:color w:val="auto"/>
          <w:highlight w:val="none"/>
          <w:lang w:eastAsia="zh-CN"/>
        </w:rPr>
        <w:t>新能源监控</w:t>
      </w:r>
      <w:r>
        <w:rPr>
          <w:rFonts w:hint="eastAsia" w:ascii="Times New Roman" w:hAnsi="Times New Roman" w:eastAsia="仿宋_GB2312" w:cs="宋体"/>
          <w:color w:val="auto"/>
          <w:highlight w:val="none"/>
        </w:rPr>
        <w:t>平台</w:t>
      </w:r>
      <w:r>
        <w:rPr>
          <w:rFonts w:hint="eastAsia" w:ascii="Times New Roman" w:hAnsi="Times New Roman" w:eastAsia="楷体" w:cs="楷体"/>
          <w:color w:val="auto"/>
          <w:highlight w:val="none"/>
          <w:lang w:eastAsia="zh-CN"/>
        </w:rPr>
        <w:t>（以下简称省平台）</w:t>
      </w:r>
      <w:r>
        <w:rPr>
          <w:rFonts w:hint="eastAsia" w:ascii="Times New Roman" w:hAnsi="Times New Roman" w:eastAsia="仿宋_GB2312" w:cs="宋体"/>
          <w:color w:val="auto"/>
          <w:highlight w:val="none"/>
        </w:rPr>
        <w:t>的</w:t>
      </w:r>
      <w:r>
        <w:rPr>
          <w:rFonts w:hint="eastAsia" w:cs="宋体"/>
          <w:color w:val="auto"/>
          <w:highlight w:val="none"/>
          <w:lang w:eastAsia="zh-CN"/>
        </w:rPr>
        <w:t>充</w:t>
      </w:r>
      <w:r>
        <w:rPr>
          <w:rFonts w:hint="eastAsia" w:ascii="Times New Roman" w:hAnsi="Times New Roman" w:eastAsia="仿宋_GB2312" w:cs="宋体"/>
          <w:color w:val="auto"/>
          <w:highlight w:val="none"/>
        </w:rPr>
        <w:t>电基础设施</w:t>
      </w:r>
      <w:r>
        <w:rPr>
          <w:rFonts w:hint="eastAsia" w:cs="宋体"/>
          <w:color w:val="auto"/>
          <w:highlight w:val="none"/>
          <w:lang w:eastAsia="zh-CN"/>
        </w:rPr>
        <w:t>，</w:t>
      </w:r>
      <w:r>
        <w:rPr>
          <w:rFonts w:hint="eastAsia" w:ascii="Times New Roman" w:hAnsi="Times New Roman" w:eastAsia="仿宋_GB2312" w:cs="宋体"/>
          <w:color w:val="auto"/>
          <w:kern w:val="2"/>
          <w:sz w:val="32"/>
          <w:szCs w:val="24"/>
          <w:highlight w:val="none"/>
          <w:lang w:val="en-US" w:eastAsia="zh-CN" w:bidi="ar-SA"/>
        </w:rPr>
        <w:t>采取事后</w:t>
      </w:r>
      <w:r>
        <w:rPr>
          <w:rFonts w:hint="eastAsia" w:cs="宋体"/>
          <w:color w:val="auto"/>
          <w:kern w:val="2"/>
          <w:sz w:val="32"/>
          <w:szCs w:val="24"/>
          <w:highlight w:val="none"/>
          <w:lang w:val="en-US" w:eastAsia="zh-CN" w:bidi="ar-SA"/>
        </w:rPr>
        <w:t>奖补</w:t>
      </w:r>
      <w:r>
        <w:rPr>
          <w:rFonts w:hint="eastAsia" w:ascii="Times New Roman" w:hAnsi="Times New Roman" w:eastAsia="仿宋_GB2312" w:cs="宋体"/>
          <w:color w:val="auto"/>
          <w:kern w:val="2"/>
          <w:sz w:val="32"/>
          <w:szCs w:val="24"/>
          <w:highlight w:val="none"/>
          <w:lang w:val="en-US" w:eastAsia="zh-CN" w:bidi="ar-SA"/>
        </w:rPr>
        <w:t>方式</w:t>
      </w:r>
      <w:r>
        <w:rPr>
          <w:rFonts w:hint="eastAsia" w:cs="宋体"/>
          <w:color w:val="auto"/>
          <w:highlight w:val="none"/>
          <w:lang w:eastAsia="zh-CN"/>
        </w:rPr>
        <w:t>予以建设补贴和运营补贴支持，补贴资金采用项目法分配，保留省级审批项目权限。</w:t>
      </w:r>
    </w:p>
    <w:p w14:paraId="209E9E5F">
      <w:pPr>
        <w:ind w:left="0" w:right="0" w:firstLine="643"/>
        <w:rPr>
          <w:rFonts w:hint="eastAsia" w:ascii="Times New Roman" w:hAnsi="Times New Roman"/>
          <w:i w:val="0"/>
          <w:iCs w:val="0"/>
          <w:color w:val="auto"/>
          <w:highlight w:val="none"/>
          <w:lang w:eastAsia="zh-CN"/>
        </w:rPr>
      </w:pPr>
      <w:r>
        <w:rPr>
          <w:rFonts w:hint="eastAsia" w:cs="宋体"/>
          <w:b/>
          <w:color w:val="auto"/>
          <w:highlight w:val="none"/>
          <w:lang w:eastAsia="zh-CN"/>
        </w:rPr>
        <w:t>第四条</w:t>
      </w:r>
      <w:r>
        <w:rPr>
          <w:rFonts w:hint="eastAsia"/>
          <w:i w:val="0"/>
          <w:iCs w:val="0"/>
          <w:color w:val="auto"/>
          <w:highlight w:val="none"/>
          <w:lang w:val="en-US" w:eastAsia="zh-CN"/>
        </w:rPr>
        <w:t xml:space="preserve">  </w:t>
      </w:r>
      <w:r>
        <w:rPr>
          <w:rFonts w:hint="eastAsia"/>
          <w:i w:val="0"/>
          <w:iCs w:val="0"/>
          <w:color w:val="auto"/>
          <w:highlight w:val="none"/>
          <w:lang w:eastAsia="zh-CN"/>
        </w:rPr>
        <w:t>充电</w:t>
      </w:r>
      <w:r>
        <w:rPr>
          <w:rFonts w:hint="eastAsia" w:ascii="Times New Roman" w:hAnsi="Times New Roman"/>
          <w:i w:val="0"/>
          <w:iCs w:val="0"/>
          <w:color w:val="auto"/>
          <w:highlight w:val="none"/>
          <w:lang w:eastAsia="zh-CN"/>
        </w:rPr>
        <w:t>站建设补贴。</w:t>
      </w:r>
    </w:p>
    <w:p w14:paraId="3E08BCCA">
      <w:pPr>
        <w:ind w:left="0" w:right="0" w:firstLine="643"/>
        <w:rPr>
          <w:rFonts w:hint="default" w:cs="宋体"/>
          <w:color w:val="auto"/>
          <w:kern w:val="2"/>
          <w:sz w:val="32"/>
          <w:szCs w:val="24"/>
          <w:highlight w:val="none"/>
          <w:lang w:val="en-US" w:eastAsia="zh-CN" w:bidi="ar-SA"/>
        </w:rPr>
      </w:pPr>
      <w:r>
        <w:rPr>
          <w:rFonts w:hint="eastAsia" w:ascii="Times New Roman" w:hAnsi="Times New Roman" w:eastAsia="仿宋_GB2312" w:cs="仿宋_GB2312"/>
          <w:color w:val="auto"/>
          <w:kern w:val="2"/>
          <w:sz w:val="32"/>
          <w:szCs w:val="24"/>
          <w:highlight w:val="none"/>
          <w:lang w:val="en-US" w:eastAsia="zh-CN" w:bidi="ar-SA"/>
        </w:rPr>
        <w:t>（一）普惠制补贴。</w:t>
      </w:r>
      <w:r>
        <w:rPr>
          <w:rFonts w:hint="eastAsia" w:ascii="Times New Roman" w:hAnsi="Times New Roman" w:cs="宋体"/>
          <w:color w:val="auto"/>
          <w:kern w:val="2"/>
          <w:sz w:val="32"/>
          <w:szCs w:val="24"/>
          <w:highlight w:val="none"/>
          <w:lang w:val="en-US" w:eastAsia="zh-CN" w:bidi="ar-SA"/>
        </w:rPr>
        <w:t>2025年1月1日以前，在公交、城/乡际客运、机场专线、旅游专线等定点、定线运行公共服务领域电动汽车停车场站新建的专用充电设施</w:t>
      </w:r>
      <w:r>
        <w:rPr>
          <w:rFonts w:hint="eastAsia" w:cs="宋体"/>
          <w:color w:val="auto"/>
          <w:kern w:val="2"/>
          <w:sz w:val="32"/>
          <w:szCs w:val="24"/>
          <w:highlight w:val="none"/>
          <w:lang w:val="en-US" w:eastAsia="zh-CN" w:bidi="ar-SA"/>
        </w:rPr>
        <w:t>；</w:t>
      </w:r>
      <w:r>
        <w:rPr>
          <w:rFonts w:hint="eastAsia" w:ascii="Times New Roman" w:hAnsi="Times New Roman" w:cs="宋体"/>
          <w:color w:val="auto"/>
          <w:kern w:val="2"/>
          <w:sz w:val="32"/>
          <w:szCs w:val="24"/>
          <w:highlight w:val="none"/>
          <w:lang w:val="en-US" w:eastAsia="zh-CN" w:bidi="ar-SA"/>
        </w:rPr>
        <w:t>在高速公路停车区、服务区新建的公用充电设施</w:t>
      </w:r>
      <w:r>
        <w:rPr>
          <w:rFonts w:hint="eastAsia" w:cs="宋体"/>
          <w:color w:val="auto"/>
          <w:kern w:val="2"/>
          <w:sz w:val="32"/>
          <w:szCs w:val="24"/>
          <w:highlight w:val="none"/>
          <w:lang w:val="en-US" w:eastAsia="zh-CN" w:bidi="ar-SA"/>
        </w:rPr>
        <w:t>；在机场、火车站新建的专用、公用充电设施，统一</w:t>
      </w:r>
      <w:r>
        <w:rPr>
          <w:rFonts w:hint="eastAsia" w:ascii="Times New Roman" w:hAnsi="Times New Roman" w:cs="宋体"/>
          <w:color w:val="auto"/>
          <w:kern w:val="2"/>
          <w:sz w:val="32"/>
          <w:szCs w:val="24"/>
          <w:highlight w:val="none"/>
          <w:lang w:val="en-US" w:eastAsia="zh-CN" w:bidi="ar-SA"/>
        </w:rPr>
        <w:t>按照额定输出功率进行一次性建设补贴，直流充电设施（含交直流一体机）600元/千瓦</w:t>
      </w:r>
      <w:r>
        <w:rPr>
          <w:rFonts w:hint="eastAsia" w:cs="宋体"/>
          <w:color w:val="auto"/>
          <w:kern w:val="2"/>
          <w:sz w:val="32"/>
          <w:szCs w:val="24"/>
          <w:highlight w:val="none"/>
          <w:lang w:val="en-US" w:eastAsia="zh-CN" w:bidi="ar-SA"/>
        </w:rPr>
        <w:t>；其他新建的专用、公用充电设施，</w:t>
      </w:r>
      <w:r>
        <w:rPr>
          <w:rFonts w:hint="eastAsia" w:ascii="Times New Roman" w:hAnsi="Times New Roman" w:cs="宋体"/>
          <w:color w:val="auto"/>
          <w:kern w:val="2"/>
          <w:sz w:val="32"/>
          <w:szCs w:val="24"/>
          <w:highlight w:val="none"/>
          <w:lang w:val="en-US" w:eastAsia="zh-CN" w:bidi="ar-SA"/>
        </w:rPr>
        <w:t>按照额定输出功率进行一次性建设补贴，直流充电设施（含交直流一体机）</w:t>
      </w:r>
      <w:r>
        <w:rPr>
          <w:rFonts w:hint="eastAsia" w:cs="宋体"/>
          <w:color w:val="auto"/>
          <w:kern w:val="2"/>
          <w:sz w:val="32"/>
          <w:szCs w:val="24"/>
          <w:highlight w:val="none"/>
          <w:lang w:val="en-US" w:eastAsia="zh-CN" w:bidi="ar-SA"/>
        </w:rPr>
        <w:t>300</w:t>
      </w:r>
      <w:r>
        <w:rPr>
          <w:rFonts w:hint="eastAsia" w:ascii="Times New Roman" w:hAnsi="Times New Roman" w:cs="宋体"/>
          <w:color w:val="auto"/>
          <w:kern w:val="2"/>
          <w:sz w:val="32"/>
          <w:szCs w:val="24"/>
          <w:highlight w:val="none"/>
          <w:lang w:val="en-US" w:eastAsia="zh-CN" w:bidi="ar-SA"/>
        </w:rPr>
        <w:t>元/千瓦</w:t>
      </w:r>
      <w:r>
        <w:rPr>
          <w:rFonts w:hint="eastAsia" w:cs="宋体"/>
          <w:color w:val="auto"/>
          <w:kern w:val="2"/>
          <w:sz w:val="32"/>
          <w:szCs w:val="24"/>
          <w:highlight w:val="none"/>
          <w:lang w:val="en-US" w:eastAsia="zh-CN" w:bidi="ar-SA"/>
        </w:rPr>
        <w:t>。交流充电设施统一按照50元/千瓦进行补贴。私人充电设备不给予补贴。考虑政策前后衔接性，如项目备案时间在2025年1月1日之前，正式投运在2025年9月30日之前（以平台出具接入证明时间为准）由属地发改（能源）部门及省能源局结合实际作出判定。</w:t>
      </w:r>
    </w:p>
    <w:p w14:paraId="69508376">
      <w:pPr>
        <w:ind w:left="0" w:right="0" w:firstLine="643"/>
        <w:rPr>
          <w:rFonts w:hint="eastAsia" w:cs="宋体"/>
          <w:b w:val="0"/>
          <w:bCs w:val="0"/>
          <w:color w:val="auto"/>
          <w:kern w:val="2"/>
          <w:sz w:val="32"/>
          <w:szCs w:val="24"/>
          <w:highlight w:val="none"/>
          <w:lang w:val="en-US" w:eastAsia="zh-CN" w:bidi="ar-SA"/>
        </w:rPr>
      </w:pPr>
      <w:r>
        <w:rPr>
          <w:rFonts w:hint="eastAsia" w:ascii="Times New Roman" w:hAnsi="Times New Roman" w:eastAsia="仿宋_GB2312" w:cs="仿宋_GB2312"/>
          <w:color w:val="auto"/>
          <w:kern w:val="2"/>
          <w:sz w:val="32"/>
          <w:szCs w:val="24"/>
          <w:highlight w:val="none"/>
          <w:lang w:val="en-US" w:eastAsia="zh-CN" w:bidi="ar-SA"/>
        </w:rPr>
        <w:t>（二）示范项目补贴。</w:t>
      </w:r>
      <w:r>
        <w:rPr>
          <w:rFonts w:hint="eastAsia" w:cs="宋体"/>
          <w:color w:val="auto"/>
          <w:kern w:val="2"/>
          <w:sz w:val="32"/>
          <w:szCs w:val="24"/>
          <w:highlight w:val="none"/>
          <w:lang w:val="en-US" w:eastAsia="zh-CN" w:bidi="ar-SA"/>
        </w:rPr>
        <w:t>2025年1月1日以后，重点推进我省充电基础设施布局短板领域示范项目建设，并给予</w:t>
      </w:r>
      <w:r>
        <w:rPr>
          <w:rFonts w:hint="eastAsia" w:ascii="Times New Roman" w:hAnsi="Times New Roman" w:cs="宋体"/>
          <w:color w:val="auto"/>
          <w:kern w:val="2"/>
          <w:sz w:val="32"/>
          <w:szCs w:val="24"/>
          <w:highlight w:val="none"/>
          <w:lang w:val="en-US" w:eastAsia="zh-CN" w:bidi="ar-SA"/>
        </w:rPr>
        <w:t>示范项目一定额度的</w:t>
      </w:r>
      <w:r>
        <w:rPr>
          <w:rFonts w:hint="eastAsia" w:cs="宋体"/>
          <w:color w:val="auto"/>
          <w:kern w:val="2"/>
          <w:sz w:val="32"/>
          <w:szCs w:val="24"/>
          <w:highlight w:val="none"/>
          <w:lang w:val="en-US" w:eastAsia="zh-CN" w:bidi="ar-SA"/>
        </w:rPr>
        <w:t>一次性</w:t>
      </w:r>
      <w:r>
        <w:rPr>
          <w:rFonts w:hint="eastAsia" w:ascii="Times New Roman" w:hAnsi="Times New Roman" w:cs="宋体"/>
          <w:color w:val="auto"/>
          <w:kern w:val="2"/>
          <w:sz w:val="32"/>
          <w:szCs w:val="24"/>
          <w:highlight w:val="none"/>
          <w:lang w:val="en-US" w:eastAsia="zh-CN" w:bidi="ar-SA"/>
        </w:rPr>
        <w:t>建设补贴。示范项目以外的建设项目，不再给予建设补贴。</w:t>
      </w:r>
    </w:p>
    <w:p w14:paraId="103CD6B8">
      <w:pPr>
        <w:ind w:left="0" w:right="0" w:firstLine="643"/>
        <w:rPr>
          <w:rFonts w:hint="eastAsia" w:cs="宋体"/>
          <w:b w:val="0"/>
          <w:bCs w:val="0"/>
          <w:color w:val="auto"/>
          <w:kern w:val="2"/>
          <w:sz w:val="32"/>
          <w:szCs w:val="24"/>
          <w:highlight w:val="none"/>
          <w:lang w:val="en-US" w:eastAsia="zh-CN" w:bidi="ar-SA"/>
        </w:rPr>
      </w:pPr>
      <w:r>
        <w:rPr>
          <w:rFonts w:hint="eastAsia" w:ascii="Times New Roman" w:hAnsi="Times New Roman" w:eastAsia="楷体" w:cs="楷体"/>
          <w:color w:val="auto"/>
          <w:kern w:val="2"/>
          <w:sz w:val="32"/>
          <w:szCs w:val="24"/>
          <w:highlight w:val="none"/>
          <w:lang w:val="en-US" w:eastAsia="zh-CN" w:bidi="ar-SA"/>
        </w:rPr>
        <w:t>1.城际交通快速充电站项目。</w:t>
      </w:r>
      <w:r>
        <w:rPr>
          <w:rFonts w:hint="eastAsia" w:cs="宋体"/>
          <w:b w:val="0"/>
          <w:bCs w:val="0"/>
          <w:color w:val="auto"/>
          <w:kern w:val="2"/>
          <w:sz w:val="32"/>
          <w:szCs w:val="24"/>
          <w:highlight w:val="none"/>
          <w:lang w:val="en-US" w:eastAsia="zh-CN" w:bidi="ar-SA"/>
        </w:rPr>
        <w:t>项目需满足：</w:t>
      </w:r>
      <w:r>
        <w:rPr>
          <w:rFonts w:hint="eastAsia" w:cs="宋体"/>
          <w:b/>
          <w:bCs/>
          <w:color w:val="auto"/>
          <w:kern w:val="2"/>
          <w:sz w:val="32"/>
          <w:szCs w:val="24"/>
          <w:highlight w:val="none"/>
          <w:lang w:val="en-US" w:eastAsia="zh-CN" w:bidi="ar-SA"/>
        </w:rPr>
        <w:t>一是</w:t>
      </w:r>
      <w:r>
        <w:rPr>
          <w:rFonts w:hint="eastAsia" w:cs="宋体"/>
          <w:b w:val="0"/>
          <w:bCs w:val="0"/>
          <w:color w:val="auto"/>
          <w:kern w:val="2"/>
          <w:sz w:val="32"/>
          <w:szCs w:val="24"/>
          <w:highlight w:val="none"/>
          <w:lang w:val="en-US" w:eastAsia="zh-CN" w:bidi="ar-SA"/>
        </w:rPr>
        <w:t>项目站址需位于</w:t>
      </w:r>
      <w:r>
        <w:rPr>
          <w:rFonts w:hint="default" w:ascii="Times New Roman" w:hAnsi="Times New Roman" w:cs="Times New Roman"/>
          <w:color w:val="auto"/>
          <w:kern w:val="2"/>
          <w:sz w:val="32"/>
          <w:szCs w:val="24"/>
          <w:highlight w:val="none"/>
          <w:lang w:val="en-US" w:eastAsia="zh-CN" w:bidi="ar-SA"/>
        </w:rPr>
        <w:t>高速公路停车区、服务区、高速公路出入口（</w:t>
      </w:r>
      <w:r>
        <w:rPr>
          <w:rFonts w:hint="eastAsia" w:cs="Times New Roman"/>
          <w:color w:val="auto"/>
          <w:kern w:val="2"/>
          <w:sz w:val="32"/>
          <w:szCs w:val="24"/>
          <w:highlight w:val="none"/>
          <w:lang w:val="en-US" w:eastAsia="zh-CN" w:bidi="ar-SA"/>
        </w:rPr>
        <w:t>或</w:t>
      </w:r>
      <w:r>
        <w:rPr>
          <w:rFonts w:hint="default" w:ascii="Times New Roman" w:hAnsi="Times New Roman" w:cs="Times New Roman"/>
          <w:color w:val="auto"/>
          <w:kern w:val="2"/>
          <w:sz w:val="32"/>
          <w:szCs w:val="24"/>
          <w:highlight w:val="none"/>
          <w:lang w:val="en-US" w:eastAsia="zh-CN" w:bidi="ar-SA"/>
        </w:rPr>
        <w:t>以出入口为</w:t>
      </w:r>
      <w:r>
        <w:rPr>
          <w:rFonts w:hint="eastAsia" w:cs="Times New Roman"/>
          <w:color w:val="auto"/>
          <w:kern w:val="2"/>
          <w:sz w:val="32"/>
          <w:szCs w:val="24"/>
          <w:highlight w:val="none"/>
          <w:lang w:val="en-US" w:eastAsia="zh-CN" w:bidi="ar-SA"/>
        </w:rPr>
        <w:t>起点</w:t>
      </w:r>
      <w:r>
        <w:rPr>
          <w:rFonts w:hint="default" w:ascii="Times New Roman" w:hAnsi="Times New Roman" w:cs="Times New Roman"/>
          <w:color w:val="auto"/>
          <w:kern w:val="2"/>
          <w:sz w:val="32"/>
          <w:szCs w:val="24"/>
          <w:highlight w:val="none"/>
          <w:lang w:val="en-US" w:eastAsia="zh-CN" w:bidi="ar-SA"/>
        </w:rPr>
        <w:t>，</w:t>
      </w:r>
      <w:r>
        <w:rPr>
          <w:rFonts w:hint="eastAsia" w:cs="Times New Roman"/>
          <w:color w:val="auto"/>
          <w:kern w:val="2"/>
          <w:sz w:val="32"/>
          <w:szCs w:val="24"/>
          <w:highlight w:val="none"/>
          <w:lang w:val="en-US" w:eastAsia="zh-CN" w:bidi="ar-SA"/>
        </w:rPr>
        <w:t>行驶距离不超过3</w:t>
      </w:r>
      <w:r>
        <w:rPr>
          <w:rFonts w:hint="default" w:ascii="Times New Roman" w:hAnsi="Times New Roman" w:cs="Times New Roman"/>
          <w:color w:val="auto"/>
          <w:kern w:val="2"/>
          <w:sz w:val="32"/>
          <w:szCs w:val="24"/>
          <w:highlight w:val="none"/>
          <w:lang w:val="en-US" w:eastAsia="zh-CN" w:bidi="ar-SA"/>
        </w:rPr>
        <w:t>公里范围内）、国省干线公路沿线服务区</w:t>
      </w:r>
      <w:r>
        <w:rPr>
          <w:rFonts w:hint="eastAsia" w:cs="Times New Roman"/>
          <w:color w:val="auto"/>
          <w:kern w:val="2"/>
          <w:sz w:val="32"/>
          <w:szCs w:val="24"/>
          <w:highlight w:val="none"/>
          <w:lang w:val="en-US" w:eastAsia="zh-CN" w:bidi="ar-SA"/>
        </w:rPr>
        <w:t>、出入口（或以出入口</w:t>
      </w:r>
      <w:r>
        <w:rPr>
          <w:rFonts w:hint="default" w:ascii="Times New Roman" w:hAnsi="Times New Roman" w:cs="Times New Roman"/>
          <w:color w:val="auto"/>
          <w:kern w:val="2"/>
          <w:sz w:val="32"/>
          <w:szCs w:val="24"/>
          <w:highlight w:val="none"/>
          <w:lang w:val="en-US" w:eastAsia="zh-CN" w:bidi="ar-SA"/>
        </w:rPr>
        <w:t>为</w:t>
      </w:r>
      <w:r>
        <w:rPr>
          <w:rFonts w:hint="eastAsia" w:cs="Times New Roman"/>
          <w:color w:val="auto"/>
          <w:kern w:val="2"/>
          <w:sz w:val="32"/>
          <w:szCs w:val="24"/>
          <w:highlight w:val="none"/>
          <w:lang w:val="en-US" w:eastAsia="zh-CN" w:bidi="ar-SA"/>
        </w:rPr>
        <w:t>起点</w:t>
      </w:r>
      <w:r>
        <w:rPr>
          <w:rFonts w:hint="default" w:ascii="Times New Roman" w:hAnsi="Times New Roman" w:cs="Times New Roman"/>
          <w:color w:val="auto"/>
          <w:kern w:val="2"/>
          <w:sz w:val="32"/>
          <w:szCs w:val="24"/>
          <w:highlight w:val="none"/>
          <w:lang w:val="en-US" w:eastAsia="zh-CN" w:bidi="ar-SA"/>
        </w:rPr>
        <w:t>，</w:t>
      </w:r>
      <w:r>
        <w:rPr>
          <w:rFonts w:hint="eastAsia" w:cs="Times New Roman"/>
          <w:color w:val="auto"/>
          <w:kern w:val="2"/>
          <w:sz w:val="32"/>
          <w:szCs w:val="24"/>
          <w:highlight w:val="none"/>
          <w:lang w:val="en-US" w:eastAsia="zh-CN" w:bidi="ar-SA"/>
        </w:rPr>
        <w:t>行驶距离不超过3</w:t>
      </w:r>
      <w:r>
        <w:rPr>
          <w:rFonts w:hint="default" w:ascii="Times New Roman" w:hAnsi="Times New Roman" w:cs="Times New Roman"/>
          <w:color w:val="auto"/>
          <w:kern w:val="2"/>
          <w:sz w:val="32"/>
          <w:szCs w:val="24"/>
          <w:highlight w:val="none"/>
          <w:lang w:val="en-US" w:eastAsia="zh-CN" w:bidi="ar-SA"/>
        </w:rPr>
        <w:t>公里范围内</w:t>
      </w:r>
      <w:r>
        <w:rPr>
          <w:rFonts w:hint="eastAsia" w:cs="Times New Roman"/>
          <w:color w:val="auto"/>
          <w:kern w:val="2"/>
          <w:sz w:val="32"/>
          <w:szCs w:val="24"/>
          <w:highlight w:val="none"/>
          <w:lang w:val="en-US" w:eastAsia="zh-CN" w:bidi="ar-SA"/>
        </w:rPr>
        <w:t>）；</w:t>
      </w:r>
      <w:r>
        <w:rPr>
          <w:rFonts w:hint="eastAsia" w:cs="Times New Roman"/>
          <w:b/>
          <w:bCs/>
          <w:color w:val="auto"/>
          <w:kern w:val="2"/>
          <w:sz w:val="32"/>
          <w:szCs w:val="24"/>
          <w:highlight w:val="none"/>
          <w:lang w:val="en-US" w:eastAsia="zh-CN" w:bidi="ar-SA"/>
        </w:rPr>
        <w:t>二是</w:t>
      </w:r>
      <w:r>
        <w:rPr>
          <w:rFonts w:hint="eastAsia" w:cs="Times New Roman"/>
          <w:color w:val="auto"/>
          <w:kern w:val="2"/>
          <w:sz w:val="32"/>
          <w:szCs w:val="24"/>
          <w:highlight w:val="none"/>
          <w:lang w:val="en-US" w:eastAsia="zh-CN" w:bidi="ar-SA"/>
        </w:rPr>
        <w:t>项目建设充电桩需为直流桩，单枪功率不低于60千瓦，充电枪数量不低于4个。符合要求的项目</w:t>
      </w:r>
      <w:r>
        <w:rPr>
          <w:rFonts w:hint="eastAsia" w:cs="宋体"/>
          <w:b w:val="0"/>
          <w:bCs w:val="0"/>
          <w:color w:val="auto"/>
          <w:kern w:val="2"/>
          <w:sz w:val="32"/>
          <w:szCs w:val="24"/>
          <w:highlight w:val="none"/>
          <w:lang w:val="en-US" w:eastAsia="zh-CN" w:bidi="ar-SA"/>
        </w:rPr>
        <w:t>按照充电设备输出功率，给予600元/千瓦的一次性建设补贴，单站最高补贴额度不超过充电设备购置价格的50%。</w:t>
      </w:r>
    </w:p>
    <w:p w14:paraId="71683F6F">
      <w:pPr>
        <w:ind w:left="0" w:right="0" w:firstLine="643"/>
        <w:rPr>
          <w:rFonts w:hint="eastAsia" w:cs="宋体"/>
          <w:b w:val="0"/>
          <w:bCs w:val="0"/>
          <w:color w:val="auto"/>
          <w:kern w:val="2"/>
          <w:sz w:val="32"/>
          <w:szCs w:val="24"/>
          <w:highlight w:val="none"/>
          <w:lang w:val="en-US" w:eastAsia="zh-CN" w:bidi="ar-SA"/>
        </w:rPr>
      </w:pPr>
      <w:r>
        <w:rPr>
          <w:rFonts w:hint="eastAsia" w:ascii="Times New Roman" w:hAnsi="Times New Roman" w:eastAsia="楷体" w:cs="楷体"/>
          <w:color w:val="auto"/>
          <w:kern w:val="2"/>
          <w:sz w:val="32"/>
          <w:szCs w:val="24"/>
          <w:highlight w:val="none"/>
          <w:lang w:val="en-US" w:eastAsia="zh-CN" w:bidi="ar-SA"/>
        </w:rPr>
        <w:t>2.农村乡镇便民充电站项目。</w:t>
      </w:r>
      <w:r>
        <w:rPr>
          <w:rFonts w:hint="eastAsia" w:cs="宋体"/>
          <w:b w:val="0"/>
          <w:bCs w:val="0"/>
          <w:color w:val="auto"/>
          <w:kern w:val="2"/>
          <w:sz w:val="32"/>
          <w:szCs w:val="24"/>
          <w:highlight w:val="none"/>
          <w:lang w:val="en-US" w:eastAsia="zh-CN" w:bidi="ar-SA"/>
        </w:rPr>
        <w:t>项目需满足：</w:t>
      </w:r>
      <w:r>
        <w:rPr>
          <w:rFonts w:hint="eastAsia" w:cs="宋体"/>
          <w:b/>
          <w:bCs/>
          <w:color w:val="auto"/>
          <w:kern w:val="2"/>
          <w:sz w:val="32"/>
          <w:szCs w:val="24"/>
          <w:highlight w:val="none"/>
          <w:lang w:val="en-US" w:eastAsia="zh-CN" w:bidi="ar-SA"/>
        </w:rPr>
        <w:t>一是</w:t>
      </w:r>
      <w:r>
        <w:rPr>
          <w:rFonts w:hint="eastAsia" w:cs="宋体"/>
          <w:b w:val="0"/>
          <w:bCs w:val="0"/>
          <w:color w:val="auto"/>
          <w:kern w:val="2"/>
          <w:sz w:val="32"/>
          <w:szCs w:val="24"/>
          <w:highlight w:val="none"/>
          <w:lang w:val="en-US" w:eastAsia="zh-CN" w:bidi="ar-SA"/>
        </w:rPr>
        <w:t>项目站址需位于县（含县级市）及以下行政区划范围内，</w:t>
      </w:r>
      <w:r>
        <w:rPr>
          <w:rFonts w:hint="eastAsia" w:cs="Times New Roman"/>
          <w:b/>
          <w:bCs/>
          <w:color w:val="auto"/>
          <w:kern w:val="2"/>
          <w:sz w:val="32"/>
          <w:szCs w:val="24"/>
          <w:highlight w:val="none"/>
          <w:lang w:val="en-US" w:eastAsia="zh-CN" w:bidi="ar-SA"/>
        </w:rPr>
        <w:t>二是</w:t>
      </w:r>
      <w:r>
        <w:rPr>
          <w:rFonts w:hint="eastAsia" w:cs="Times New Roman"/>
          <w:color w:val="auto"/>
          <w:kern w:val="2"/>
          <w:sz w:val="32"/>
          <w:szCs w:val="24"/>
          <w:highlight w:val="none"/>
          <w:lang w:val="en-US" w:eastAsia="zh-CN" w:bidi="ar-SA"/>
        </w:rPr>
        <w:t>项目建设充电桩需为直流桩，单枪功率不低于60千瓦，充电枪数量不低于4个。在县域（对应行政区划代码5-6位编码为21-70、81-99，不包括市辖区）范围内符合要求的项目</w:t>
      </w:r>
      <w:r>
        <w:rPr>
          <w:rFonts w:hint="eastAsia" w:cs="宋体"/>
          <w:b w:val="0"/>
          <w:bCs w:val="0"/>
          <w:color w:val="auto"/>
          <w:kern w:val="2"/>
          <w:sz w:val="32"/>
          <w:szCs w:val="24"/>
          <w:highlight w:val="none"/>
          <w:lang w:val="en-US" w:eastAsia="zh-CN" w:bidi="ar-SA"/>
        </w:rPr>
        <w:t>按照充电设备输出功率，给予200元/千瓦的一次性建设补贴；在县域以下</w:t>
      </w:r>
      <w:r>
        <w:rPr>
          <w:rFonts w:hint="eastAsia" w:cs="Times New Roman"/>
          <w:color w:val="auto"/>
          <w:kern w:val="2"/>
          <w:sz w:val="32"/>
          <w:szCs w:val="24"/>
          <w:highlight w:val="none"/>
          <w:lang w:val="en-US" w:eastAsia="zh-CN" w:bidi="ar-SA"/>
        </w:rPr>
        <w:t>（对应行政区划代码7-9位编码为100-399，不包括街道、城中村、民政部未确认的类似乡的单位）范围内符合要求的项目</w:t>
      </w:r>
      <w:r>
        <w:rPr>
          <w:rFonts w:hint="eastAsia" w:cs="宋体"/>
          <w:b w:val="0"/>
          <w:bCs w:val="0"/>
          <w:color w:val="auto"/>
          <w:kern w:val="2"/>
          <w:sz w:val="32"/>
          <w:szCs w:val="24"/>
          <w:highlight w:val="none"/>
          <w:lang w:val="en-US" w:eastAsia="zh-CN" w:bidi="ar-SA"/>
        </w:rPr>
        <w:t>按照充电设备输出功率，给予400元/千瓦的一次性建设补贴。单站最高补贴额度不超过充电设备购置价格的50%。</w:t>
      </w:r>
    </w:p>
    <w:p w14:paraId="3B583198">
      <w:pPr>
        <w:ind w:left="0" w:right="0" w:firstLine="643"/>
        <w:rPr>
          <w:rFonts w:hint="eastAsia" w:cs="宋体"/>
          <w:b w:val="0"/>
          <w:bCs w:val="0"/>
          <w:color w:val="auto"/>
          <w:kern w:val="2"/>
          <w:sz w:val="32"/>
          <w:szCs w:val="24"/>
          <w:highlight w:val="none"/>
          <w:lang w:val="en-US" w:eastAsia="zh-CN" w:bidi="ar-SA"/>
        </w:rPr>
      </w:pPr>
      <w:r>
        <w:rPr>
          <w:rFonts w:hint="eastAsia" w:ascii="Times New Roman" w:hAnsi="Times New Roman" w:eastAsia="楷体" w:cs="楷体"/>
          <w:color w:val="auto"/>
          <w:kern w:val="2"/>
          <w:sz w:val="32"/>
          <w:szCs w:val="24"/>
          <w:highlight w:val="none"/>
          <w:lang w:val="en-US" w:eastAsia="zh-CN" w:bidi="ar-SA"/>
        </w:rPr>
        <w:t>3.居民小区共享充电站项目。</w:t>
      </w:r>
      <w:r>
        <w:rPr>
          <w:rFonts w:hint="eastAsia" w:cs="宋体"/>
          <w:b w:val="0"/>
          <w:bCs w:val="0"/>
          <w:color w:val="auto"/>
          <w:kern w:val="2"/>
          <w:sz w:val="32"/>
          <w:szCs w:val="24"/>
          <w:highlight w:val="none"/>
          <w:lang w:val="en-US" w:eastAsia="zh-CN" w:bidi="ar-SA"/>
        </w:rPr>
        <w:t>项目需满足：</w:t>
      </w:r>
      <w:r>
        <w:rPr>
          <w:rFonts w:hint="default" w:ascii="Times New Roman" w:hAnsi="Times New Roman" w:cs="Times New Roman"/>
          <w:b/>
          <w:bCs/>
          <w:color w:val="auto"/>
          <w:kern w:val="2"/>
          <w:sz w:val="32"/>
          <w:szCs w:val="24"/>
          <w:highlight w:val="none"/>
          <w:lang w:val="en-US" w:eastAsia="zh-CN" w:bidi="ar-SA"/>
        </w:rPr>
        <w:t>一是</w:t>
      </w:r>
      <w:r>
        <w:rPr>
          <w:rFonts w:hint="eastAsia" w:cs="Times New Roman"/>
          <w:b w:val="0"/>
          <w:bCs w:val="0"/>
          <w:color w:val="auto"/>
          <w:kern w:val="2"/>
          <w:sz w:val="32"/>
          <w:szCs w:val="24"/>
          <w:highlight w:val="none"/>
          <w:lang w:val="en-US" w:eastAsia="zh-CN" w:bidi="ar-SA"/>
        </w:rPr>
        <w:t>项目</w:t>
      </w:r>
      <w:r>
        <w:rPr>
          <w:rFonts w:hint="default" w:ascii="Times New Roman" w:hAnsi="Times New Roman" w:cs="Times New Roman"/>
          <w:b w:val="0"/>
          <w:bCs w:val="0"/>
          <w:color w:val="auto"/>
          <w:kern w:val="2"/>
          <w:sz w:val="32"/>
          <w:szCs w:val="24"/>
          <w:highlight w:val="none"/>
          <w:lang w:val="en-US" w:eastAsia="zh-CN" w:bidi="ar-SA"/>
        </w:rPr>
        <w:t>充电设施应</w:t>
      </w:r>
      <w:r>
        <w:rPr>
          <w:rFonts w:hint="eastAsia" w:cs="Times New Roman"/>
          <w:b w:val="0"/>
          <w:bCs w:val="0"/>
          <w:color w:val="auto"/>
          <w:kern w:val="2"/>
          <w:sz w:val="32"/>
          <w:szCs w:val="24"/>
          <w:highlight w:val="none"/>
          <w:lang w:val="en-US" w:eastAsia="zh-CN" w:bidi="ar-SA"/>
        </w:rPr>
        <w:t>位于</w:t>
      </w:r>
      <w:r>
        <w:rPr>
          <w:rFonts w:hint="default" w:ascii="Times New Roman" w:hAnsi="Times New Roman" w:cs="Times New Roman"/>
          <w:b w:val="0"/>
          <w:bCs w:val="0"/>
          <w:color w:val="auto"/>
          <w:kern w:val="2"/>
          <w:sz w:val="32"/>
          <w:szCs w:val="24"/>
          <w:highlight w:val="none"/>
          <w:lang w:val="en-US" w:eastAsia="zh-CN" w:bidi="ar-SA"/>
        </w:rPr>
        <w:t>小区内的停车位上，</w:t>
      </w:r>
      <w:r>
        <w:rPr>
          <w:rFonts w:hint="eastAsia" w:cs="Times New Roman"/>
          <w:color w:val="auto"/>
          <w:kern w:val="2"/>
          <w:sz w:val="32"/>
          <w:szCs w:val="24"/>
          <w:highlight w:val="none"/>
          <w:lang w:val="en-US" w:eastAsia="zh-CN" w:bidi="ar-SA"/>
        </w:rPr>
        <w:t>充电枪</w:t>
      </w:r>
      <w:r>
        <w:rPr>
          <w:rFonts w:hint="default" w:ascii="Times New Roman" w:hAnsi="Times New Roman" w:cs="Times New Roman"/>
          <w:b w:val="0"/>
          <w:bCs w:val="0"/>
          <w:color w:val="auto"/>
          <w:kern w:val="2"/>
          <w:sz w:val="32"/>
          <w:szCs w:val="24"/>
          <w:highlight w:val="none"/>
          <w:lang w:val="en-US" w:eastAsia="zh-CN" w:bidi="ar-SA"/>
        </w:rPr>
        <w:t>数量不低于3个；</w:t>
      </w:r>
      <w:r>
        <w:rPr>
          <w:rFonts w:hint="default" w:ascii="Times New Roman" w:hAnsi="Times New Roman" w:cs="Times New Roman"/>
          <w:b/>
          <w:bCs/>
          <w:color w:val="auto"/>
          <w:kern w:val="2"/>
          <w:sz w:val="32"/>
          <w:szCs w:val="24"/>
          <w:highlight w:val="none"/>
          <w:lang w:val="en-US" w:eastAsia="zh-CN" w:bidi="ar-SA"/>
        </w:rPr>
        <w:t>二是</w:t>
      </w:r>
      <w:r>
        <w:rPr>
          <w:rFonts w:hint="default" w:ascii="Times New Roman" w:hAnsi="Times New Roman" w:cs="Times New Roman"/>
          <w:b w:val="0"/>
          <w:bCs w:val="0"/>
          <w:color w:val="auto"/>
          <w:kern w:val="2"/>
          <w:sz w:val="32"/>
          <w:szCs w:val="24"/>
          <w:highlight w:val="none"/>
          <w:lang w:val="en-US" w:eastAsia="zh-CN" w:bidi="ar-SA"/>
        </w:rPr>
        <w:t>建设充电桩应具备智能有序充电模式，充电停车位应采用分时共享有序调节模式；</w:t>
      </w:r>
      <w:r>
        <w:rPr>
          <w:rFonts w:hint="default" w:ascii="Times New Roman" w:hAnsi="Times New Roman" w:cs="Times New Roman"/>
          <w:b/>
          <w:bCs/>
          <w:color w:val="auto"/>
          <w:kern w:val="2"/>
          <w:sz w:val="32"/>
          <w:szCs w:val="24"/>
          <w:highlight w:val="none"/>
          <w:lang w:val="en-US" w:eastAsia="zh-CN" w:bidi="ar-SA"/>
        </w:rPr>
        <w:t>三是</w:t>
      </w:r>
      <w:r>
        <w:rPr>
          <w:rFonts w:hint="eastAsia" w:ascii="仿宋_GB2312" w:hAnsi="仿宋_GB2312" w:eastAsia="仿宋_GB2312" w:cs="仿宋_GB2312"/>
          <w:sz w:val="32"/>
          <w:szCs w:val="32"/>
          <w:highlight w:val="none"/>
          <w:lang w:val="en-US" w:eastAsia="zh-CN"/>
        </w:rPr>
        <w:t>项目由</w:t>
      </w:r>
      <w:r>
        <w:rPr>
          <w:rFonts w:hint="eastAsia" w:ascii="仿宋_GB2312" w:hAnsi="仿宋_GB2312" w:cs="仿宋_GB2312"/>
          <w:sz w:val="32"/>
          <w:szCs w:val="32"/>
          <w:highlight w:val="none"/>
          <w:lang w:val="en-US" w:eastAsia="zh-CN"/>
        </w:rPr>
        <w:t>充电</w:t>
      </w:r>
      <w:r>
        <w:rPr>
          <w:rFonts w:hint="eastAsia" w:ascii="仿宋_GB2312" w:hAnsi="仿宋_GB2312" w:eastAsia="仿宋_GB2312" w:cs="仿宋_GB2312"/>
          <w:sz w:val="32"/>
          <w:szCs w:val="32"/>
          <w:highlight w:val="none"/>
          <w:lang w:val="en-US" w:eastAsia="zh-CN"/>
        </w:rPr>
        <w:t>企业负责建设和运营管理，</w:t>
      </w:r>
      <w:r>
        <w:rPr>
          <w:rFonts w:hint="eastAsia" w:ascii="仿宋_GB2312" w:hAnsi="仿宋_GB2312" w:eastAsia="仿宋_GB2312" w:cs="仿宋_GB2312"/>
          <w:color w:val="auto"/>
          <w:sz w:val="32"/>
          <w:szCs w:val="32"/>
          <w:highlight w:val="none"/>
          <w:lang w:val="en-US" w:eastAsia="zh-CN"/>
        </w:rPr>
        <w:t>经</w:t>
      </w:r>
      <w:r>
        <w:rPr>
          <w:rFonts w:hint="eastAsia" w:ascii="仿宋_GB2312" w:hAnsi="仿宋_GB2312" w:eastAsia="仿宋_GB2312" w:cs="仿宋_GB2312"/>
          <w:color w:val="auto"/>
          <w:sz w:val="32"/>
          <w:szCs w:val="32"/>
          <w:highlight w:val="none"/>
        </w:rPr>
        <w:t>业主大会或全体业主表决同意</w:t>
      </w:r>
      <w:r>
        <w:rPr>
          <w:rFonts w:hint="eastAsia" w:ascii="仿宋_GB2312" w:hAnsi="仿宋_GB2312" w:eastAsia="仿宋_GB2312" w:cs="仿宋_GB2312"/>
          <w:color w:val="auto"/>
          <w:sz w:val="32"/>
          <w:szCs w:val="32"/>
          <w:highlight w:val="none"/>
          <w:lang w:val="en-US" w:eastAsia="zh-CN"/>
        </w:rPr>
        <w:t>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物业企业给予支持</w:t>
      </w:r>
      <w:r>
        <w:rPr>
          <w:rFonts w:hint="eastAsia" w:ascii="仿宋_GB2312" w:hAnsi="仿宋_GB2312" w:cs="仿宋_GB2312"/>
          <w:color w:val="auto"/>
          <w:sz w:val="32"/>
          <w:szCs w:val="32"/>
          <w:highlight w:val="none"/>
          <w:lang w:eastAsia="zh-CN"/>
        </w:rPr>
        <w:t>，</w:t>
      </w:r>
      <w:r>
        <w:rPr>
          <w:rFonts w:hint="default" w:ascii="Times New Roman" w:hAnsi="Times New Roman" w:cs="Times New Roman"/>
          <w:b w:val="0"/>
          <w:bCs w:val="0"/>
          <w:color w:val="auto"/>
          <w:kern w:val="2"/>
          <w:sz w:val="32"/>
          <w:szCs w:val="24"/>
          <w:highlight w:val="none"/>
          <w:lang w:val="en-US" w:eastAsia="zh-CN" w:bidi="ar-SA"/>
        </w:rPr>
        <w:t>并与充电企业签订合作协议，以明确双方责任义务。</w:t>
      </w:r>
      <w:r>
        <w:rPr>
          <w:rFonts w:hint="eastAsia" w:cs="Times New Roman"/>
          <w:color w:val="auto"/>
          <w:kern w:val="2"/>
          <w:sz w:val="32"/>
          <w:szCs w:val="24"/>
          <w:highlight w:val="none"/>
          <w:lang w:val="en-US" w:eastAsia="zh-CN" w:bidi="ar-SA"/>
        </w:rPr>
        <w:t>符合要求的项目</w:t>
      </w:r>
      <w:r>
        <w:rPr>
          <w:rFonts w:hint="eastAsia" w:cs="宋体"/>
          <w:b w:val="0"/>
          <w:bCs w:val="0"/>
          <w:color w:val="auto"/>
          <w:kern w:val="2"/>
          <w:sz w:val="32"/>
          <w:szCs w:val="24"/>
          <w:highlight w:val="none"/>
          <w:lang w:val="en-US" w:eastAsia="zh-CN" w:bidi="ar-SA"/>
        </w:rPr>
        <w:t>按照充电设备输出功率，直流设备给予400元/千瓦的一次性建设补贴，交流设备给予50元/千瓦的一次性建设补贴。单站最高补贴额度不超过充电设备购置价格的50%。同时，</w:t>
      </w:r>
      <w:r>
        <w:rPr>
          <w:rFonts w:hint="eastAsia" w:ascii="仿宋_GB2312" w:hAnsi="仿宋_GB2312" w:eastAsia="仿宋_GB2312" w:cs="仿宋_GB2312"/>
          <w:color w:val="auto"/>
          <w:sz w:val="32"/>
          <w:szCs w:val="32"/>
          <w:highlight w:val="none"/>
        </w:rPr>
        <w:t>对支持共享充电站建设的居民小区</w:t>
      </w:r>
      <w:r>
        <w:rPr>
          <w:rFonts w:hint="eastAsia" w:ascii="仿宋_GB2312" w:hAnsi="仿宋_GB2312" w:eastAsia="仿宋_GB2312" w:cs="仿宋_GB2312"/>
          <w:color w:val="auto"/>
          <w:sz w:val="32"/>
          <w:szCs w:val="32"/>
          <w:highlight w:val="none"/>
          <w:lang w:val="en-US" w:eastAsia="zh-CN"/>
        </w:rPr>
        <w:t>业主大会或全体业主</w:t>
      </w:r>
      <w:r>
        <w:rPr>
          <w:rFonts w:hint="eastAsia" w:ascii="仿宋_GB2312" w:hAnsi="仿宋_GB2312" w:eastAsia="仿宋_GB2312" w:cs="仿宋_GB2312"/>
          <w:color w:val="auto"/>
          <w:sz w:val="32"/>
          <w:szCs w:val="32"/>
          <w:highlight w:val="none"/>
        </w:rPr>
        <w:t>给予一次性补贴</w:t>
      </w:r>
      <w:r>
        <w:rPr>
          <w:rFonts w:hint="eastAsia" w:cs="宋体"/>
          <w:b w:val="0"/>
          <w:bCs w:val="0"/>
          <w:color w:val="auto"/>
          <w:kern w:val="2"/>
          <w:sz w:val="32"/>
          <w:szCs w:val="24"/>
          <w:highlight w:val="none"/>
          <w:lang w:val="en-US" w:eastAsia="zh-CN" w:bidi="ar-SA"/>
        </w:rPr>
        <w:t>，补贴金额按照与建设充电桩对应的充电车位数量计算，3-5个车位给予补贴1万元，6-10个车位给予补贴3万元，10个以上车位给予补贴5万元。</w:t>
      </w:r>
    </w:p>
    <w:p w14:paraId="4A53BE0E">
      <w:pPr>
        <w:ind w:left="0" w:right="0" w:firstLine="643"/>
        <w:rPr>
          <w:rFonts w:hint="eastAsia" w:cs="Times New Roman"/>
          <w:color w:val="auto"/>
          <w:kern w:val="2"/>
          <w:sz w:val="32"/>
          <w:szCs w:val="24"/>
          <w:highlight w:val="none"/>
          <w:lang w:val="en-US" w:eastAsia="zh-CN" w:bidi="ar-SA"/>
        </w:rPr>
      </w:pPr>
      <w:r>
        <w:rPr>
          <w:rFonts w:hint="eastAsia" w:ascii="Times New Roman" w:hAnsi="Times New Roman" w:eastAsia="楷体" w:cs="楷体"/>
          <w:color w:val="auto"/>
          <w:kern w:val="2"/>
          <w:sz w:val="32"/>
          <w:szCs w:val="24"/>
          <w:highlight w:val="none"/>
          <w:lang w:val="en-US" w:eastAsia="zh-CN" w:bidi="ar-SA"/>
        </w:rPr>
        <w:t>4.公共领域保障充电站项目。</w:t>
      </w:r>
      <w:r>
        <w:rPr>
          <w:rFonts w:hint="eastAsia" w:cs="宋体"/>
          <w:b w:val="0"/>
          <w:bCs w:val="0"/>
          <w:color w:val="auto"/>
          <w:kern w:val="2"/>
          <w:sz w:val="32"/>
          <w:szCs w:val="24"/>
          <w:highlight w:val="none"/>
          <w:lang w:val="en-US" w:eastAsia="zh-CN" w:bidi="ar-SA"/>
        </w:rPr>
        <w:t>项目需满足：</w:t>
      </w:r>
      <w:r>
        <w:rPr>
          <w:rFonts w:hint="eastAsia" w:cs="宋体"/>
          <w:b/>
          <w:bCs/>
          <w:color w:val="auto"/>
          <w:kern w:val="2"/>
          <w:sz w:val="32"/>
          <w:szCs w:val="24"/>
          <w:highlight w:val="none"/>
          <w:lang w:val="en-US" w:eastAsia="zh-CN" w:bidi="ar-SA"/>
        </w:rPr>
        <w:t>一是</w:t>
      </w:r>
      <w:r>
        <w:rPr>
          <w:rFonts w:hint="eastAsia" w:cs="宋体"/>
          <w:b w:val="0"/>
          <w:bCs w:val="0"/>
          <w:color w:val="auto"/>
          <w:kern w:val="2"/>
          <w:sz w:val="32"/>
          <w:szCs w:val="24"/>
          <w:highlight w:val="none"/>
          <w:lang w:val="en-US" w:eastAsia="zh-CN" w:bidi="ar-SA"/>
        </w:rPr>
        <w:t>项目属于</w:t>
      </w:r>
      <w:r>
        <w:rPr>
          <w:rFonts w:hint="default" w:ascii="Times New Roman" w:hAnsi="Times New Roman" w:cs="Times New Roman"/>
          <w:color w:val="auto"/>
          <w:kern w:val="2"/>
          <w:sz w:val="32"/>
          <w:szCs w:val="24"/>
          <w:highlight w:val="none"/>
          <w:lang w:val="en-US" w:eastAsia="zh-CN" w:bidi="ar-SA"/>
        </w:rPr>
        <w:t>在公交、城/乡际客运、机场专线、旅游专线等定点、定线运行公共服务领域电动汽车停车场站新建的专用充电设施</w:t>
      </w:r>
      <w:r>
        <w:rPr>
          <w:rFonts w:hint="eastAsia" w:cs="Times New Roman"/>
          <w:color w:val="auto"/>
          <w:kern w:val="2"/>
          <w:sz w:val="32"/>
          <w:szCs w:val="24"/>
          <w:highlight w:val="none"/>
          <w:lang w:val="en-US" w:eastAsia="zh-CN" w:bidi="ar-SA"/>
        </w:rPr>
        <w:t>，或</w:t>
      </w:r>
      <w:r>
        <w:rPr>
          <w:rFonts w:hint="default" w:ascii="Times New Roman" w:hAnsi="Times New Roman" w:cs="Times New Roman"/>
          <w:color w:val="auto"/>
          <w:kern w:val="2"/>
          <w:sz w:val="32"/>
          <w:szCs w:val="24"/>
          <w:highlight w:val="none"/>
          <w:lang w:val="en-US" w:eastAsia="zh-CN" w:bidi="ar-SA"/>
        </w:rPr>
        <w:t>在机场、火车站</w:t>
      </w:r>
      <w:r>
        <w:rPr>
          <w:rFonts w:hint="eastAsia" w:cs="Times New Roman"/>
          <w:color w:val="auto"/>
          <w:kern w:val="2"/>
          <w:sz w:val="32"/>
          <w:szCs w:val="24"/>
          <w:highlight w:val="none"/>
          <w:lang w:val="en-US" w:eastAsia="zh-CN" w:bidi="ar-SA"/>
        </w:rPr>
        <w:t>、</w:t>
      </w:r>
      <w:r>
        <w:rPr>
          <w:rFonts w:hint="default" w:ascii="Times New Roman" w:hAnsi="Times New Roman" w:cs="Times New Roman"/>
          <w:color w:val="auto"/>
          <w:kern w:val="2"/>
          <w:sz w:val="32"/>
          <w:szCs w:val="24"/>
          <w:highlight w:val="none"/>
          <w:lang w:val="en-US" w:eastAsia="zh-CN" w:bidi="ar-SA"/>
        </w:rPr>
        <w:t>医院、</w:t>
      </w:r>
      <w:r>
        <w:rPr>
          <w:rFonts w:hint="eastAsia" w:cs="Times New Roman"/>
          <w:color w:val="auto"/>
          <w:kern w:val="2"/>
          <w:sz w:val="32"/>
          <w:szCs w:val="24"/>
          <w:highlight w:val="none"/>
          <w:lang w:val="en-US" w:eastAsia="zh-CN" w:bidi="ar-SA"/>
        </w:rPr>
        <w:t>3A及以上</w:t>
      </w:r>
      <w:r>
        <w:rPr>
          <w:rFonts w:hint="default" w:ascii="Times New Roman" w:hAnsi="Times New Roman" w:cs="Times New Roman"/>
          <w:color w:val="auto"/>
          <w:kern w:val="2"/>
          <w:sz w:val="32"/>
          <w:szCs w:val="24"/>
          <w:highlight w:val="none"/>
          <w:lang w:val="en-US" w:eastAsia="zh-CN" w:bidi="ar-SA"/>
        </w:rPr>
        <w:t>景区、开放性党政机关、事业单位、科技类场馆等公共机构新建的专用、公用充电设施</w:t>
      </w:r>
      <w:r>
        <w:rPr>
          <w:rFonts w:hint="eastAsia" w:cs="Times New Roman"/>
          <w:color w:val="auto"/>
          <w:kern w:val="2"/>
          <w:sz w:val="32"/>
          <w:szCs w:val="24"/>
          <w:highlight w:val="none"/>
          <w:lang w:val="en-US" w:eastAsia="zh-CN" w:bidi="ar-SA"/>
        </w:rPr>
        <w:t>。</w:t>
      </w:r>
      <w:r>
        <w:rPr>
          <w:rFonts w:hint="eastAsia" w:cs="Times New Roman"/>
          <w:b/>
          <w:bCs/>
          <w:color w:val="auto"/>
          <w:kern w:val="2"/>
          <w:sz w:val="32"/>
          <w:szCs w:val="24"/>
          <w:highlight w:val="none"/>
          <w:lang w:val="en-US" w:eastAsia="zh-CN" w:bidi="ar-SA"/>
        </w:rPr>
        <w:t>二是</w:t>
      </w:r>
      <w:r>
        <w:rPr>
          <w:rFonts w:hint="eastAsia" w:cs="Times New Roman"/>
          <w:color w:val="auto"/>
          <w:kern w:val="2"/>
          <w:sz w:val="32"/>
          <w:szCs w:val="24"/>
          <w:highlight w:val="none"/>
          <w:lang w:val="en-US" w:eastAsia="zh-CN" w:bidi="ar-SA"/>
        </w:rPr>
        <w:t>项目建设充电桩需为直流桩，单枪功率不低于60千瓦，充电枪数量不低于4个。符合要求的项目</w:t>
      </w:r>
      <w:r>
        <w:rPr>
          <w:rFonts w:hint="eastAsia" w:cs="宋体"/>
          <w:b w:val="0"/>
          <w:bCs w:val="0"/>
          <w:color w:val="auto"/>
          <w:kern w:val="2"/>
          <w:sz w:val="32"/>
          <w:szCs w:val="24"/>
          <w:highlight w:val="none"/>
          <w:lang w:val="en-US" w:eastAsia="zh-CN" w:bidi="ar-SA"/>
        </w:rPr>
        <w:t>按照充电设备输出功率，直流设备给予300元/千瓦的一次性建设补贴。单站最高补贴额度不超过充电设备购置价格的50%。</w:t>
      </w:r>
    </w:p>
    <w:p w14:paraId="0A0B945C">
      <w:pPr>
        <w:ind w:left="0" w:right="0" w:firstLine="643"/>
        <w:rPr>
          <w:rFonts w:ascii="Times New Roman" w:hAnsi="Times New Roman" w:eastAsia="仿宋_GB2312"/>
          <w:i w:val="0"/>
          <w:iCs w:val="0"/>
          <w:color w:val="auto"/>
          <w:highlight w:val="none"/>
        </w:rPr>
      </w:pPr>
      <w:r>
        <w:rPr>
          <w:rFonts w:hint="eastAsia" w:ascii="Times New Roman" w:hAnsi="Times New Roman" w:eastAsia="楷体" w:cs="楷体"/>
          <w:color w:val="auto"/>
          <w:kern w:val="2"/>
          <w:sz w:val="32"/>
          <w:szCs w:val="24"/>
          <w:highlight w:val="none"/>
          <w:lang w:val="en-US" w:eastAsia="zh-CN" w:bidi="ar-SA"/>
        </w:rPr>
        <w:t>5.高技术智慧充电站项目。</w:t>
      </w:r>
      <w:r>
        <w:rPr>
          <w:rFonts w:hint="eastAsia" w:cs="宋体"/>
          <w:b w:val="0"/>
          <w:bCs w:val="0"/>
          <w:color w:val="auto"/>
          <w:kern w:val="2"/>
          <w:sz w:val="32"/>
          <w:szCs w:val="24"/>
          <w:highlight w:val="none"/>
          <w:lang w:val="en-US" w:eastAsia="zh-CN" w:bidi="ar-SA"/>
        </w:rPr>
        <w:t>项目需满足：</w:t>
      </w:r>
      <w:r>
        <w:rPr>
          <w:rFonts w:hint="default" w:ascii="Times New Roman" w:hAnsi="Times New Roman" w:cs="Times New Roman"/>
          <w:color w:val="auto"/>
          <w:kern w:val="2"/>
          <w:sz w:val="32"/>
          <w:szCs w:val="24"/>
          <w:highlight w:val="none"/>
          <w:lang w:val="en-US" w:eastAsia="zh-CN" w:bidi="ar-SA"/>
        </w:rPr>
        <w:t>利用</w:t>
      </w:r>
      <w:r>
        <w:rPr>
          <w:rFonts w:hint="eastAsia" w:cs="Times New Roman"/>
          <w:color w:val="auto"/>
          <w:kern w:val="2"/>
          <w:sz w:val="32"/>
          <w:szCs w:val="24"/>
          <w:highlight w:val="none"/>
          <w:lang w:val="en-US" w:eastAsia="zh-CN" w:bidi="ar-SA"/>
        </w:rPr>
        <w:t>充电</w:t>
      </w:r>
      <w:r>
        <w:rPr>
          <w:rFonts w:hint="default" w:ascii="Times New Roman" w:hAnsi="Times New Roman" w:cs="Times New Roman"/>
          <w:color w:val="auto"/>
          <w:kern w:val="2"/>
          <w:sz w:val="32"/>
          <w:szCs w:val="24"/>
          <w:highlight w:val="none"/>
          <w:lang w:val="en-US" w:eastAsia="zh-CN" w:bidi="ar-SA"/>
        </w:rPr>
        <w:t>站内部空间配建的自发自用分布式光伏设备，按照设备额定功率给予一次性建设补贴，标准为100元/千瓦。站内配建新型储能设备的</w:t>
      </w:r>
      <w:r>
        <w:rPr>
          <w:rFonts w:hint="eastAsia" w:cs="Times New Roman"/>
          <w:color w:val="auto"/>
          <w:kern w:val="2"/>
          <w:sz w:val="32"/>
          <w:szCs w:val="24"/>
          <w:highlight w:val="none"/>
          <w:lang w:val="en-US" w:eastAsia="zh-CN" w:bidi="ar-SA"/>
        </w:rPr>
        <w:t>充电</w:t>
      </w:r>
      <w:r>
        <w:rPr>
          <w:rFonts w:hint="default" w:ascii="Times New Roman" w:hAnsi="Times New Roman" w:cs="Times New Roman"/>
          <w:color w:val="auto"/>
          <w:kern w:val="2"/>
          <w:sz w:val="32"/>
          <w:szCs w:val="24"/>
          <w:highlight w:val="none"/>
          <w:lang w:val="en-US" w:eastAsia="zh-CN" w:bidi="ar-SA"/>
        </w:rPr>
        <w:t>站，按照储能设备容量给予一次性建设补贴，标准为100元/千瓦时</w:t>
      </w:r>
      <w:r>
        <w:rPr>
          <w:rFonts w:hint="eastAsia" w:cs="Times New Roman"/>
          <w:color w:val="auto"/>
          <w:kern w:val="2"/>
          <w:sz w:val="32"/>
          <w:szCs w:val="24"/>
          <w:highlight w:val="none"/>
          <w:lang w:val="en-US" w:eastAsia="zh-CN" w:bidi="ar-SA"/>
        </w:rPr>
        <w:t>。</w:t>
      </w:r>
      <w:r>
        <w:rPr>
          <w:rFonts w:hint="default" w:ascii="Times New Roman" w:hAnsi="Times New Roman" w:cs="Times New Roman"/>
          <w:color w:val="auto"/>
          <w:kern w:val="2"/>
          <w:sz w:val="32"/>
          <w:szCs w:val="24"/>
          <w:highlight w:val="none"/>
          <w:lang w:val="en-US" w:eastAsia="zh-CN" w:bidi="ar-SA"/>
        </w:rPr>
        <w:t>站内充电设备包含液冷超充、V2G、无线充电等高技术应用的项目，</w:t>
      </w:r>
      <w:r>
        <w:rPr>
          <w:rFonts w:hint="default" w:ascii="Times New Roman" w:hAnsi="Times New Roman" w:cs="Times New Roman"/>
          <w:b w:val="0"/>
          <w:bCs w:val="0"/>
          <w:color w:val="auto"/>
          <w:kern w:val="2"/>
          <w:sz w:val="32"/>
          <w:szCs w:val="24"/>
          <w:highlight w:val="none"/>
          <w:lang w:val="en-US" w:eastAsia="zh-CN" w:bidi="ar-SA"/>
        </w:rPr>
        <w:t>单个设备按照</w:t>
      </w:r>
      <w:r>
        <w:rPr>
          <w:rFonts w:hint="eastAsia" w:cs="Times New Roman"/>
          <w:b w:val="0"/>
          <w:bCs w:val="0"/>
          <w:color w:val="auto"/>
          <w:kern w:val="2"/>
          <w:sz w:val="32"/>
          <w:szCs w:val="24"/>
          <w:highlight w:val="none"/>
          <w:lang w:val="en-US" w:eastAsia="zh-CN" w:bidi="ar-SA"/>
        </w:rPr>
        <w:t>200元/千瓦给予一次性建设补贴。</w:t>
      </w:r>
      <w:r>
        <w:rPr>
          <w:rFonts w:hint="eastAsia" w:cs="宋体"/>
          <w:b w:val="0"/>
          <w:bCs w:val="0"/>
          <w:color w:val="auto"/>
          <w:kern w:val="2"/>
          <w:sz w:val="32"/>
          <w:szCs w:val="24"/>
          <w:highlight w:val="none"/>
          <w:lang w:val="en-US" w:eastAsia="zh-CN" w:bidi="ar-SA"/>
        </w:rPr>
        <w:t>高技术智慧充电站项目补贴可与其他项目补贴叠加申报，叠加部分最高不超过充电设备购置价格的20%。</w:t>
      </w:r>
    </w:p>
    <w:p w14:paraId="61DA71F9">
      <w:pPr>
        <w:ind w:left="0" w:right="0" w:firstLine="643"/>
        <w:rPr>
          <w:rFonts w:hint="eastAsia" w:ascii="Times New Roman" w:hAnsi="Times New Roman" w:eastAsia="仿宋_GB2312"/>
          <w:i w:val="0"/>
          <w:iCs w:val="0"/>
          <w:color w:val="auto"/>
          <w:highlight w:val="none"/>
          <w:lang w:eastAsia="zh-CN"/>
        </w:rPr>
      </w:pPr>
      <w:r>
        <w:rPr>
          <w:rFonts w:hint="eastAsia" w:cs="宋体"/>
          <w:b/>
          <w:color w:val="auto"/>
          <w:highlight w:val="none"/>
          <w:lang w:eastAsia="zh-CN"/>
        </w:rPr>
        <w:t>第五条</w:t>
      </w:r>
      <w:r>
        <w:rPr>
          <w:rFonts w:hint="eastAsia"/>
          <w:i w:val="0"/>
          <w:iCs w:val="0"/>
          <w:color w:val="auto"/>
          <w:highlight w:val="none"/>
          <w:lang w:val="en-US" w:eastAsia="zh-CN"/>
        </w:rPr>
        <w:t xml:space="preserve">  </w:t>
      </w:r>
      <w:r>
        <w:rPr>
          <w:rFonts w:hint="eastAsia"/>
          <w:i w:val="0"/>
          <w:iCs w:val="0"/>
          <w:color w:val="auto"/>
          <w:highlight w:val="none"/>
          <w:lang w:eastAsia="zh-CN"/>
        </w:rPr>
        <w:t>充</w:t>
      </w:r>
      <w:r>
        <w:rPr>
          <w:rFonts w:hint="eastAsia" w:ascii="Times New Roman" w:hAnsi="Times New Roman" w:eastAsia="仿宋_GB2312"/>
          <w:i w:val="0"/>
          <w:iCs w:val="0"/>
          <w:color w:val="auto"/>
          <w:highlight w:val="none"/>
          <w:lang w:eastAsia="zh-CN"/>
        </w:rPr>
        <w:t>电站运营补贴。</w:t>
      </w:r>
    </w:p>
    <w:p w14:paraId="5E18B1FF">
      <w:pPr>
        <w:ind w:left="0" w:right="0" w:firstLine="643"/>
        <w:rPr>
          <w:rFonts w:hint="eastAsia"/>
          <w:i w:val="0"/>
          <w:iCs w:val="0"/>
          <w:color w:val="auto"/>
          <w:highlight w:val="none"/>
          <w:lang w:eastAsia="zh-CN"/>
        </w:rPr>
      </w:pPr>
      <w:r>
        <w:rPr>
          <w:rFonts w:hint="eastAsia" w:ascii="Times New Roman" w:hAnsi="Times New Roman" w:eastAsia="仿宋_GB2312" w:cs="仿宋_GB2312"/>
          <w:color w:val="auto"/>
          <w:kern w:val="2"/>
          <w:sz w:val="32"/>
          <w:szCs w:val="24"/>
          <w:highlight w:val="none"/>
          <w:lang w:val="en-US" w:eastAsia="zh-CN" w:bidi="ar-SA"/>
        </w:rPr>
        <w:t>（一）年度考核。</w:t>
      </w:r>
      <w:r>
        <w:rPr>
          <w:rFonts w:hint="eastAsia"/>
          <w:i w:val="0"/>
          <w:iCs w:val="0"/>
          <w:color w:val="auto"/>
          <w:highlight w:val="none"/>
          <w:lang w:eastAsia="zh-CN"/>
        </w:rPr>
        <w:t>省能源局</w:t>
      </w:r>
      <w:r>
        <w:rPr>
          <w:rFonts w:hint="eastAsia" w:ascii="Times New Roman" w:hAnsi="Times New Roman" w:eastAsia="仿宋_GB2312"/>
          <w:i w:val="0"/>
          <w:iCs w:val="0"/>
          <w:color w:val="auto"/>
          <w:highlight w:val="none"/>
          <w:lang w:eastAsia="zh-CN"/>
        </w:rPr>
        <w:t>每年对</w:t>
      </w:r>
      <w:r>
        <w:rPr>
          <w:rFonts w:hint="eastAsia"/>
          <w:i w:val="0"/>
          <w:iCs w:val="0"/>
          <w:color w:val="auto"/>
          <w:highlight w:val="none"/>
          <w:lang w:eastAsia="zh-CN"/>
        </w:rPr>
        <w:t>充电</w:t>
      </w:r>
      <w:r>
        <w:rPr>
          <w:rFonts w:hint="eastAsia" w:ascii="Times New Roman" w:hAnsi="Times New Roman" w:eastAsia="仿宋_GB2312"/>
          <w:i w:val="0"/>
          <w:iCs w:val="0"/>
          <w:color w:val="auto"/>
          <w:highlight w:val="none"/>
          <w:lang w:eastAsia="zh-CN"/>
        </w:rPr>
        <w:t>站开展运营管理质量考核，考核内容包括但不限于：数据对接及时性和准确性、场站运营管理及服务水平、场站安全管理及应急响应能力等方面</w:t>
      </w:r>
      <w:r>
        <w:rPr>
          <w:rFonts w:hint="eastAsia"/>
          <w:i w:val="0"/>
          <w:iCs w:val="0"/>
          <w:color w:val="auto"/>
          <w:highlight w:val="none"/>
          <w:lang w:eastAsia="zh-CN"/>
        </w:rPr>
        <w:t>。考核</w:t>
      </w:r>
      <w:r>
        <w:rPr>
          <w:rFonts w:hint="eastAsia" w:ascii="Times New Roman" w:hAnsi="Times New Roman" w:eastAsia="仿宋_GB2312"/>
          <w:i w:val="0"/>
          <w:iCs w:val="0"/>
          <w:color w:val="auto"/>
          <w:highlight w:val="none"/>
          <w:lang w:eastAsia="zh-CN"/>
        </w:rPr>
        <w:t>结果分为“三星级、二星级、一星级、不合格”四个档次</w:t>
      </w:r>
      <w:r>
        <w:rPr>
          <w:rFonts w:hint="eastAsia"/>
          <w:i w:val="0"/>
          <w:iCs w:val="0"/>
          <w:color w:val="auto"/>
          <w:highlight w:val="none"/>
          <w:lang w:eastAsia="zh-CN"/>
        </w:rPr>
        <w:t>。</w:t>
      </w:r>
    </w:p>
    <w:p w14:paraId="5323F5EA">
      <w:pPr>
        <w:ind w:left="0" w:right="0" w:firstLine="643"/>
        <w:rPr>
          <w:rFonts w:hint="eastAsia"/>
          <w:i w:val="0"/>
          <w:iCs w:val="0"/>
          <w:color w:val="auto"/>
          <w:highlight w:val="none"/>
          <w:lang w:eastAsia="zh-CN"/>
        </w:rPr>
      </w:pPr>
      <w:r>
        <w:rPr>
          <w:rFonts w:hint="eastAsia" w:ascii="Times New Roman" w:hAnsi="Times New Roman" w:eastAsia="仿宋_GB2312" w:cs="仿宋_GB2312"/>
          <w:color w:val="auto"/>
          <w:kern w:val="2"/>
          <w:sz w:val="32"/>
          <w:szCs w:val="24"/>
          <w:highlight w:val="none"/>
          <w:lang w:val="en-US" w:eastAsia="zh-CN" w:bidi="ar-SA"/>
        </w:rPr>
        <w:t>（二）梯度奖补。</w:t>
      </w:r>
      <w:r>
        <w:rPr>
          <w:rFonts w:hint="eastAsia" w:ascii="Times New Roman" w:hAnsi="Times New Roman" w:eastAsia="仿宋_GB2312"/>
          <w:i w:val="0"/>
          <w:iCs w:val="0"/>
          <w:color w:val="auto"/>
          <w:highlight w:val="none"/>
          <w:lang w:eastAsia="zh-CN"/>
        </w:rPr>
        <w:t>采取梯度奖补形式</w:t>
      </w:r>
      <w:r>
        <w:rPr>
          <w:rFonts w:hint="eastAsia"/>
          <w:i w:val="0"/>
          <w:iCs w:val="0"/>
          <w:color w:val="auto"/>
          <w:highlight w:val="none"/>
          <w:lang w:eastAsia="zh-CN"/>
        </w:rPr>
        <w:t>，根据年度考核结果，</w:t>
      </w:r>
      <w:r>
        <w:rPr>
          <w:rFonts w:hint="eastAsia"/>
          <w:b w:val="0"/>
          <w:bCs w:val="0"/>
          <w:i w:val="0"/>
          <w:iCs w:val="0"/>
          <w:color w:val="auto"/>
          <w:highlight w:val="none"/>
          <w:lang w:eastAsia="zh-CN"/>
        </w:rPr>
        <w:t>结合充电站为电动汽车提供的用电量，</w:t>
      </w:r>
      <w:r>
        <w:rPr>
          <w:rFonts w:hint="eastAsia"/>
          <w:i w:val="0"/>
          <w:iCs w:val="0"/>
          <w:color w:val="auto"/>
          <w:highlight w:val="none"/>
          <w:lang w:eastAsia="zh-CN"/>
        </w:rPr>
        <w:t>对充电站给予运营补贴。其中，二星级档次补贴标准</w:t>
      </w:r>
      <w:r>
        <w:rPr>
          <w:rFonts w:hint="eastAsia" w:ascii="Times New Roman" w:hAnsi="Times New Roman"/>
          <w:i w:val="0"/>
          <w:iCs w:val="0"/>
          <w:color w:val="auto"/>
          <w:highlight w:val="none"/>
          <w:lang w:eastAsia="zh-CN"/>
        </w:rPr>
        <w:t>为</w:t>
      </w:r>
      <w:r>
        <w:rPr>
          <w:rFonts w:hint="eastAsia" w:ascii="Times New Roman" w:hAnsi="Times New Roman"/>
          <w:i w:val="0"/>
          <w:iCs w:val="0"/>
          <w:color w:val="auto"/>
          <w:highlight w:val="none"/>
          <w:lang w:val="en-US" w:eastAsia="zh-CN"/>
        </w:rPr>
        <w:t>0.</w:t>
      </w:r>
      <w:r>
        <w:rPr>
          <w:rFonts w:hint="eastAsia"/>
          <w:i w:val="0"/>
          <w:iCs w:val="0"/>
          <w:color w:val="auto"/>
          <w:highlight w:val="none"/>
          <w:lang w:val="en-US" w:eastAsia="zh-CN"/>
        </w:rPr>
        <w:t>2</w:t>
      </w:r>
      <w:r>
        <w:rPr>
          <w:rFonts w:hint="eastAsia" w:ascii="Times New Roman" w:hAnsi="Times New Roman"/>
          <w:i w:val="0"/>
          <w:iCs w:val="0"/>
          <w:color w:val="auto"/>
          <w:highlight w:val="none"/>
          <w:lang w:val="en-US" w:eastAsia="zh-CN"/>
        </w:rPr>
        <w:t>元/</w:t>
      </w:r>
      <w:r>
        <w:rPr>
          <w:rFonts w:hint="eastAsia"/>
          <w:i w:val="0"/>
          <w:iCs w:val="0"/>
          <w:color w:val="auto"/>
          <w:highlight w:val="none"/>
          <w:lang w:val="en-US" w:eastAsia="zh-CN"/>
        </w:rPr>
        <w:t>千瓦时</w:t>
      </w:r>
      <w:r>
        <w:rPr>
          <w:rFonts w:hint="eastAsia"/>
          <w:i w:val="0"/>
          <w:iCs w:val="0"/>
          <w:color w:val="auto"/>
          <w:highlight w:val="none"/>
          <w:lang w:eastAsia="zh-CN"/>
        </w:rPr>
        <w:t>，三星级、一星级补贴标准在二星级档次补贴标准基础上分别浮动</w:t>
      </w:r>
      <w:r>
        <w:rPr>
          <w:rFonts w:hint="default" w:ascii="Times New Roman" w:hAnsi="Times New Roman" w:cs="Times New Roman"/>
          <w:i w:val="0"/>
          <w:iCs w:val="0"/>
          <w:color w:val="auto"/>
          <w:highlight w:val="none"/>
          <w:shd w:val="clear" w:color="auto" w:fill="auto"/>
          <w:lang w:eastAsia="zh-CN"/>
        </w:rPr>
        <w:t>±</w:t>
      </w:r>
      <w:r>
        <w:rPr>
          <w:rFonts w:hint="eastAsia"/>
          <w:i w:val="0"/>
          <w:iCs w:val="0"/>
          <w:color w:val="auto"/>
          <w:highlight w:val="none"/>
          <w:shd w:val="clear" w:color="auto" w:fill="auto"/>
          <w:lang w:val="en-US" w:eastAsia="zh-CN"/>
        </w:rPr>
        <w:t>50%</w:t>
      </w:r>
      <w:r>
        <w:rPr>
          <w:rFonts w:hint="eastAsia"/>
          <w:i w:val="0"/>
          <w:iCs w:val="0"/>
          <w:color w:val="auto"/>
          <w:highlight w:val="none"/>
          <w:lang w:eastAsia="zh-CN"/>
        </w:rPr>
        <w:t>，不合格档次不纳入运营补贴范围。</w:t>
      </w:r>
      <w:r>
        <w:rPr>
          <w:rFonts w:hint="eastAsia"/>
          <w:i w:val="0"/>
          <w:iCs w:val="0"/>
          <w:color w:val="auto"/>
          <w:highlight w:val="none"/>
          <w:u w:val="none"/>
          <w:lang w:eastAsia="zh-CN"/>
        </w:rPr>
        <w:t>专用充电站不给予运营补贴。</w:t>
      </w:r>
    </w:p>
    <w:p w14:paraId="10921FA7">
      <w:pPr>
        <w:ind w:left="0" w:right="0" w:firstLine="640"/>
        <w:rPr>
          <w:rFonts w:hint="default" w:cs="宋体"/>
          <w:color w:val="auto"/>
          <w:highlight w:val="none"/>
          <w:lang w:val="en-US" w:eastAsia="zh-CN"/>
        </w:rPr>
      </w:pPr>
    </w:p>
    <w:p w14:paraId="35039ED0">
      <w:pPr>
        <w:jc w:val="center"/>
        <w:rPr>
          <w:rFonts w:hint="eastAsia" w:ascii="Times New Roman" w:hAnsi="Times New Roman" w:eastAsia="黑体" w:cs="黑体"/>
          <w:color w:val="auto"/>
          <w:highlight w:val="none"/>
          <w:lang w:eastAsia="zh-CN"/>
        </w:rPr>
      </w:pPr>
      <w:r>
        <w:rPr>
          <w:rFonts w:hint="eastAsia" w:ascii="Times New Roman" w:hAnsi="Times New Roman" w:eastAsia="黑体" w:cs="黑体"/>
          <w:color w:val="auto"/>
          <w:highlight w:val="none"/>
        </w:rPr>
        <w:t>第</w:t>
      </w:r>
      <w:r>
        <w:rPr>
          <w:rFonts w:hint="eastAsia" w:ascii="Times New Roman" w:hAnsi="Times New Roman" w:eastAsia="黑体" w:cs="黑体"/>
          <w:color w:val="auto"/>
          <w:highlight w:val="none"/>
          <w:lang w:eastAsia="zh-CN"/>
        </w:rPr>
        <w:t>三</w:t>
      </w:r>
      <w:r>
        <w:rPr>
          <w:rFonts w:hint="eastAsia" w:ascii="Times New Roman" w:hAnsi="Times New Roman" w:eastAsia="黑体" w:cs="黑体"/>
          <w:color w:val="auto"/>
          <w:highlight w:val="none"/>
        </w:rPr>
        <w:t xml:space="preserve">章  </w:t>
      </w:r>
      <w:r>
        <w:rPr>
          <w:rFonts w:hint="eastAsia" w:eastAsia="黑体" w:cs="黑体"/>
          <w:color w:val="auto"/>
          <w:highlight w:val="none"/>
          <w:lang w:eastAsia="zh-CN"/>
        </w:rPr>
        <w:t>申报</w:t>
      </w:r>
      <w:r>
        <w:rPr>
          <w:rFonts w:hint="eastAsia" w:ascii="Times New Roman" w:hAnsi="Times New Roman" w:eastAsia="黑体" w:cs="黑体"/>
          <w:color w:val="auto"/>
          <w:highlight w:val="none"/>
        </w:rPr>
        <w:t>条件</w:t>
      </w:r>
      <w:r>
        <w:rPr>
          <w:rFonts w:hint="eastAsia" w:eastAsia="黑体" w:cs="黑体"/>
          <w:color w:val="auto"/>
          <w:highlight w:val="none"/>
          <w:lang w:eastAsia="zh-CN"/>
        </w:rPr>
        <w:t>和申报资料</w:t>
      </w:r>
    </w:p>
    <w:p w14:paraId="50E89461">
      <w:pPr>
        <w:ind w:left="0" w:right="0" w:firstLine="640"/>
        <w:rPr>
          <w:rFonts w:hint="eastAsia" w:ascii="Times New Roman" w:hAnsi="Times New Roman" w:eastAsia="仿宋_GB2312" w:cs="宋体"/>
          <w:color w:val="auto"/>
          <w:highlight w:val="none"/>
        </w:rPr>
      </w:pPr>
    </w:p>
    <w:p w14:paraId="35E9612C">
      <w:pPr>
        <w:ind w:left="0" w:right="0" w:firstLine="643"/>
        <w:rPr>
          <w:rFonts w:ascii="Times New Roman" w:hAnsi="Times New Roman" w:eastAsia="仿宋_GB2312"/>
          <w:color w:val="auto"/>
          <w:highlight w:val="none"/>
        </w:rPr>
      </w:pPr>
      <w:r>
        <w:rPr>
          <w:rFonts w:hint="eastAsia" w:ascii="Times New Roman" w:hAnsi="Times New Roman" w:eastAsia="仿宋_GB2312" w:cs="宋体"/>
          <w:b/>
          <w:color w:val="auto"/>
          <w:highlight w:val="none"/>
        </w:rPr>
        <w:t>第</w:t>
      </w:r>
      <w:r>
        <w:rPr>
          <w:rFonts w:hint="eastAsia" w:cs="宋体"/>
          <w:b/>
          <w:color w:val="auto"/>
          <w:highlight w:val="none"/>
          <w:lang w:eastAsia="zh-CN"/>
        </w:rPr>
        <w:t>六</w:t>
      </w:r>
      <w:r>
        <w:rPr>
          <w:rFonts w:hint="eastAsia" w:ascii="Times New Roman" w:hAnsi="Times New Roman" w:eastAsia="仿宋_GB2312" w:cs="宋体"/>
          <w:b/>
          <w:color w:val="auto"/>
          <w:highlight w:val="none"/>
        </w:rPr>
        <w:t>条</w:t>
      </w:r>
      <w:r>
        <w:rPr>
          <w:rFonts w:hint="eastAsia" w:ascii="Times New Roman" w:hAnsi="Times New Roman" w:eastAsia="仿宋_GB2312" w:cs="宋体"/>
          <w:color w:val="auto"/>
          <w:highlight w:val="none"/>
        </w:rPr>
        <w:t xml:space="preserve"> </w:t>
      </w:r>
      <w:r>
        <w:rPr>
          <w:rFonts w:hint="eastAsia" w:cs="宋体"/>
          <w:color w:val="auto"/>
          <w:highlight w:val="none"/>
          <w:lang w:val="en-US" w:eastAsia="zh-CN"/>
        </w:rPr>
        <w:t xml:space="preserve"> </w:t>
      </w:r>
      <w:r>
        <w:rPr>
          <w:rFonts w:hint="eastAsia" w:ascii="Times New Roman" w:hAnsi="Times New Roman" w:cs="宋体"/>
          <w:color w:val="auto"/>
          <w:highlight w:val="none"/>
          <w:lang w:eastAsia="zh-CN"/>
        </w:rPr>
        <w:t>申报条件。</w:t>
      </w:r>
      <w:r>
        <w:rPr>
          <w:rFonts w:hint="eastAsia" w:ascii="Times New Roman" w:hAnsi="Times New Roman" w:eastAsia="仿宋_GB2312" w:cs="宋体"/>
          <w:color w:val="auto"/>
          <w:highlight w:val="none"/>
        </w:rPr>
        <w:t>满足以下条件</w:t>
      </w:r>
      <w:r>
        <w:rPr>
          <w:rFonts w:hint="eastAsia" w:cs="宋体"/>
          <w:color w:val="auto"/>
          <w:highlight w:val="none"/>
          <w:lang w:eastAsia="zh-CN"/>
        </w:rPr>
        <w:t>的充电站</w:t>
      </w:r>
      <w:r>
        <w:rPr>
          <w:rFonts w:hint="eastAsia" w:ascii="Times New Roman" w:hAnsi="Times New Roman" w:eastAsia="仿宋_GB2312" w:cs="宋体"/>
          <w:color w:val="auto"/>
          <w:highlight w:val="none"/>
        </w:rPr>
        <w:t>建设运营单位可申请补贴资金：</w:t>
      </w:r>
    </w:p>
    <w:p w14:paraId="1844D5B2">
      <w:pPr>
        <w:ind w:left="0" w:right="0" w:firstLine="630"/>
        <w:rPr>
          <w:rFonts w:ascii="Times New Roman" w:hAnsi="Times New Roman" w:eastAsia="仿宋_GB2312"/>
          <w:color w:val="auto"/>
          <w:highlight w:val="none"/>
        </w:rPr>
      </w:pPr>
      <w:r>
        <w:rPr>
          <w:rFonts w:hint="eastAsia" w:ascii="Times New Roman" w:hAnsi="Times New Roman" w:eastAsia="仿宋_GB2312" w:cs="宋体"/>
          <w:color w:val="auto"/>
          <w:highlight w:val="none"/>
        </w:rPr>
        <w:t>（一）开工建设前通过在线平台在辖区县（市、区）发改部门备案或取得县（市、区）政府项目批复</w:t>
      </w:r>
      <w:r>
        <w:rPr>
          <w:rFonts w:hint="eastAsia" w:cs="宋体"/>
          <w:color w:val="auto"/>
          <w:highlight w:val="none"/>
          <w:lang w:eastAsia="zh-CN"/>
        </w:rPr>
        <w:t>，</w:t>
      </w:r>
      <w:r>
        <w:rPr>
          <w:rFonts w:hint="eastAsia" w:ascii="Times New Roman" w:hAnsi="Times New Roman" w:eastAsia="仿宋_GB2312" w:cs="宋体"/>
          <w:color w:val="auto"/>
          <w:highlight w:val="none"/>
        </w:rPr>
        <w:t>符合《吉林省电动汽车充</w:t>
      </w:r>
      <w:r>
        <w:rPr>
          <w:rFonts w:hint="eastAsia" w:cs="宋体"/>
          <w:color w:val="auto"/>
          <w:highlight w:val="none"/>
          <w:lang w:eastAsia="zh-CN"/>
        </w:rPr>
        <w:t>电</w:t>
      </w:r>
      <w:r>
        <w:rPr>
          <w:rFonts w:hint="eastAsia" w:ascii="Times New Roman" w:hAnsi="Times New Roman" w:eastAsia="仿宋_GB2312" w:cs="宋体"/>
          <w:color w:val="auto"/>
          <w:highlight w:val="none"/>
        </w:rPr>
        <w:t>基础设施建设运营管理暂行办法（修订版）》规定的资质要求；</w:t>
      </w:r>
    </w:p>
    <w:p w14:paraId="311D18E5">
      <w:pPr>
        <w:ind w:left="0" w:right="0" w:firstLine="640"/>
        <w:rPr>
          <w:rFonts w:ascii="Times New Roman" w:hAnsi="Times New Roman" w:eastAsia="仿宋_GB2312"/>
          <w:color w:val="auto"/>
          <w:highlight w:val="none"/>
        </w:rPr>
      </w:pPr>
      <w:r>
        <w:rPr>
          <w:rFonts w:hint="eastAsia" w:ascii="Times New Roman" w:hAnsi="Times New Roman" w:eastAsia="仿宋_GB2312" w:cs="宋体"/>
          <w:color w:val="auto"/>
          <w:highlight w:val="none"/>
        </w:rPr>
        <w:t>（</w:t>
      </w:r>
      <w:r>
        <w:rPr>
          <w:rFonts w:hint="eastAsia" w:cs="宋体"/>
          <w:color w:val="auto"/>
          <w:highlight w:val="none"/>
          <w:lang w:eastAsia="zh-CN"/>
        </w:rPr>
        <w:t>二</w:t>
      </w:r>
      <w:r>
        <w:rPr>
          <w:rFonts w:hint="eastAsia" w:ascii="Times New Roman" w:hAnsi="Times New Roman" w:eastAsia="仿宋_GB2312" w:cs="宋体"/>
          <w:color w:val="auto"/>
          <w:highlight w:val="none"/>
        </w:rPr>
        <w:t>）</w:t>
      </w:r>
      <w:r>
        <w:rPr>
          <w:rFonts w:hint="eastAsia" w:cs="宋体"/>
          <w:color w:val="auto"/>
          <w:highlight w:val="none"/>
          <w:lang w:eastAsia="zh-CN"/>
        </w:rPr>
        <w:t>充电</w:t>
      </w:r>
      <w:r>
        <w:rPr>
          <w:rFonts w:hint="eastAsia" w:ascii="Times New Roman" w:hAnsi="Times New Roman" w:eastAsia="仿宋_GB2312" w:cs="宋体"/>
          <w:color w:val="auto"/>
          <w:highlight w:val="none"/>
        </w:rPr>
        <w:t>基础设施符合国家</w:t>
      </w:r>
      <w:r>
        <w:rPr>
          <w:rFonts w:hint="eastAsia" w:cs="宋体"/>
          <w:color w:val="auto"/>
          <w:highlight w:val="none"/>
          <w:lang w:eastAsia="zh-CN"/>
        </w:rPr>
        <w:t>充电</w:t>
      </w:r>
      <w:r>
        <w:rPr>
          <w:rFonts w:hint="eastAsia" w:ascii="Times New Roman" w:hAnsi="Times New Roman" w:eastAsia="仿宋_GB2312" w:cs="宋体"/>
          <w:color w:val="auto"/>
          <w:highlight w:val="none"/>
        </w:rPr>
        <w:t>设备、接口、消防、安全等相关标准</w:t>
      </w:r>
      <w:r>
        <w:rPr>
          <w:rFonts w:hint="eastAsia" w:cs="宋体"/>
          <w:color w:val="auto"/>
          <w:highlight w:val="none"/>
          <w:lang w:eastAsia="zh-CN"/>
        </w:rPr>
        <w:t>，</w:t>
      </w:r>
      <w:r>
        <w:rPr>
          <w:rFonts w:hint="eastAsia" w:ascii="Times New Roman" w:hAnsi="Times New Roman" w:eastAsia="仿宋_GB2312" w:cs="宋体"/>
          <w:color w:val="auto"/>
          <w:highlight w:val="none"/>
        </w:rPr>
        <w:t>建设、运营、维护符合国家和我省相关建设标准、技术规范、设计规程和管理要求；</w:t>
      </w:r>
    </w:p>
    <w:p w14:paraId="199F8481">
      <w:pPr>
        <w:ind w:left="0" w:right="0" w:firstLine="640"/>
        <w:rPr>
          <w:rFonts w:ascii="Times New Roman" w:hAnsi="Times New Roman" w:eastAsia="仿宋_GB2312"/>
          <w:color w:val="auto"/>
          <w:highlight w:val="none"/>
        </w:rPr>
      </w:pPr>
      <w:r>
        <w:rPr>
          <w:rFonts w:hint="eastAsia" w:ascii="Times New Roman" w:hAnsi="Times New Roman" w:eastAsia="仿宋_GB2312" w:cs="宋体"/>
          <w:color w:val="auto"/>
          <w:highlight w:val="none"/>
        </w:rPr>
        <w:t>（</w:t>
      </w:r>
      <w:r>
        <w:rPr>
          <w:rFonts w:hint="eastAsia" w:cs="宋体"/>
          <w:color w:val="auto"/>
          <w:highlight w:val="none"/>
          <w:lang w:eastAsia="zh-CN"/>
        </w:rPr>
        <w:t>三</w:t>
      </w:r>
      <w:r>
        <w:rPr>
          <w:rFonts w:hint="eastAsia" w:ascii="Times New Roman" w:hAnsi="Times New Roman" w:eastAsia="仿宋_GB2312" w:cs="宋体"/>
          <w:color w:val="auto"/>
          <w:highlight w:val="none"/>
        </w:rPr>
        <w:t>）</w:t>
      </w:r>
      <w:r>
        <w:rPr>
          <w:rFonts w:hint="eastAsia" w:cs="宋体"/>
          <w:color w:val="auto"/>
          <w:highlight w:val="none"/>
          <w:lang w:eastAsia="zh-CN"/>
        </w:rPr>
        <w:t>充电</w:t>
      </w:r>
      <w:r>
        <w:rPr>
          <w:rFonts w:hint="eastAsia" w:ascii="Times New Roman" w:hAnsi="Times New Roman" w:eastAsia="仿宋_GB2312" w:cs="宋体"/>
          <w:color w:val="auto"/>
          <w:highlight w:val="none"/>
        </w:rPr>
        <w:t>基础设施电能可计量，位置可查询，充电状态可监控</w:t>
      </w:r>
      <w:r>
        <w:rPr>
          <w:rFonts w:hint="eastAsia" w:cs="宋体"/>
          <w:color w:val="auto"/>
          <w:highlight w:val="none"/>
          <w:lang w:eastAsia="zh-CN"/>
        </w:rPr>
        <w:t>，</w:t>
      </w:r>
      <w:r>
        <w:rPr>
          <w:rFonts w:hint="eastAsia" w:ascii="Times New Roman" w:hAnsi="Times New Roman" w:eastAsia="仿宋_GB2312" w:cs="宋体"/>
          <w:color w:val="auto"/>
          <w:highlight w:val="none"/>
        </w:rPr>
        <w:t>支付方式具有通用性；</w:t>
      </w:r>
    </w:p>
    <w:p w14:paraId="76B83B3E">
      <w:pPr>
        <w:ind w:left="0" w:right="0" w:firstLine="640"/>
        <w:rPr>
          <w:rFonts w:hint="default" w:ascii="Times New Roman" w:hAnsi="Times New Roman" w:cs="宋体"/>
          <w:color w:val="auto"/>
          <w:highlight w:val="none"/>
          <w:lang w:val="en-US" w:eastAsia="zh-CN"/>
        </w:rPr>
      </w:pPr>
      <w:r>
        <w:rPr>
          <w:rFonts w:hint="default" w:ascii="Times New Roman" w:hAnsi="Times New Roman" w:eastAsia="仿宋_GB2312" w:cs="仿宋_GB2312"/>
          <w:b/>
          <w:bCs/>
          <w:color w:val="auto"/>
          <w:kern w:val="2"/>
          <w:sz w:val="32"/>
          <w:szCs w:val="32"/>
          <w:highlight w:val="none"/>
          <w:lang w:val="en-US" w:eastAsia="zh-CN" w:bidi="ar"/>
        </w:rPr>
        <w:t>第</w:t>
      </w:r>
      <w:r>
        <w:rPr>
          <w:rFonts w:hint="eastAsia" w:cs="仿宋_GB2312"/>
          <w:b/>
          <w:bCs/>
          <w:color w:val="auto"/>
          <w:kern w:val="2"/>
          <w:sz w:val="32"/>
          <w:szCs w:val="32"/>
          <w:highlight w:val="none"/>
          <w:lang w:val="en-US" w:eastAsia="zh-CN" w:bidi="ar"/>
        </w:rPr>
        <w:t>七</w:t>
      </w:r>
      <w:r>
        <w:rPr>
          <w:rFonts w:hint="default" w:ascii="Times New Roman" w:hAnsi="Times New Roman" w:eastAsia="仿宋_GB2312" w:cs="仿宋_GB2312"/>
          <w:b/>
          <w:bCs/>
          <w:color w:val="auto"/>
          <w:kern w:val="2"/>
          <w:sz w:val="32"/>
          <w:szCs w:val="32"/>
          <w:highlight w:val="none"/>
          <w:lang w:val="en-US" w:eastAsia="zh-CN" w:bidi="ar"/>
        </w:rPr>
        <w:t>条</w:t>
      </w:r>
      <w:r>
        <w:rPr>
          <w:rFonts w:hint="default" w:ascii="Times New Roman" w:hAnsi="Times New Roman" w:eastAsia="仿宋_GB2312" w:cs="宋体"/>
          <w:color w:val="auto"/>
          <w:kern w:val="2"/>
          <w:sz w:val="32"/>
          <w:szCs w:val="32"/>
          <w:highlight w:val="none"/>
          <w:lang w:val="en-US" w:eastAsia="zh-CN" w:bidi="ar"/>
        </w:rPr>
        <w:t xml:space="preserve"> </w:t>
      </w:r>
      <w:r>
        <w:rPr>
          <w:rFonts w:hint="eastAsia" w:cs="宋体"/>
          <w:color w:val="auto"/>
          <w:kern w:val="2"/>
          <w:sz w:val="32"/>
          <w:szCs w:val="32"/>
          <w:highlight w:val="none"/>
          <w:lang w:val="en-US" w:eastAsia="zh-CN" w:bidi="ar"/>
        </w:rPr>
        <w:t xml:space="preserve"> </w:t>
      </w:r>
      <w:r>
        <w:rPr>
          <w:rFonts w:hint="eastAsia" w:ascii="Times New Roman" w:hAnsi="Times New Roman" w:cs="宋体"/>
          <w:color w:val="auto"/>
          <w:kern w:val="2"/>
          <w:sz w:val="32"/>
          <w:szCs w:val="32"/>
          <w:highlight w:val="none"/>
          <w:lang w:val="en-US" w:eastAsia="zh-CN" w:bidi="ar"/>
        </w:rPr>
        <w:t>申报资料。</w:t>
      </w:r>
      <w:r>
        <w:rPr>
          <w:rFonts w:hint="eastAsia" w:cs="宋体"/>
          <w:color w:val="auto"/>
          <w:kern w:val="2"/>
          <w:sz w:val="32"/>
          <w:szCs w:val="32"/>
          <w:highlight w:val="none"/>
          <w:lang w:val="en-US" w:eastAsia="zh-CN" w:bidi="ar"/>
        </w:rPr>
        <w:t>申请补贴的充电站建设运营企业按要求填报《吉林省电动汽车充电站补贴申请表》（随申报通知一并下发），包括企业基本情况、项目基本情况、用电情况等。此外，</w:t>
      </w:r>
      <w:r>
        <w:rPr>
          <w:rFonts w:hint="eastAsia" w:cs="仿宋_GB2312"/>
          <w:color w:val="auto"/>
          <w:kern w:val="2"/>
          <w:sz w:val="32"/>
          <w:szCs w:val="32"/>
          <w:highlight w:val="none"/>
          <w:lang w:val="en-US" w:eastAsia="zh-CN" w:bidi="ar"/>
        </w:rPr>
        <w:t>充电</w:t>
      </w:r>
      <w:r>
        <w:rPr>
          <w:rFonts w:hint="default" w:ascii="Times New Roman" w:hAnsi="Times New Roman" w:eastAsia="仿宋_GB2312" w:cs="仿宋_GB2312"/>
          <w:color w:val="auto"/>
          <w:kern w:val="2"/>
          <w:sz w:val="32"/>
          <w:szCs w:val="32"/>
          <w:highlight w:val="none"/>
          <w:lang w:val="en-US" w:eastAsia="zh-CN" w:bidi="ar"/>
        </w:rPr>
        <w:t>站建设运营企业在项目建成后投运前，</w:t>
      </w:r>
      <w:r>
        <w:rPr>
          <w:rFonts w:hint="eastAsia" w:ascii="Times New Roman" w:hAnsi="Times New Roman" w:cs="仿宋_GB2312"/>
          <w:color w:val="auto"/>
          <w:kern w:val="2"/>
          <w:sz w:val="32"/>
          <w:szCs w:val="32"/>
          <w:highlight w:val="none"/>
          <w:lang w:val="en-US" w:eastAsia="zh-Hans" w:bidi="ar"/>
        </w:rPr>
        <w:t>按</w:t>
      </w:r>
      <w:r>
        <w:rPr>
          <w:rFonts w:hint="eastAsia" w:ascii="Times New Roman" w:hAnsi="Times New Roman" w:cs="仿宋_GB2312"/>
          <w:color w:val="auto"/>
          <w:kern w:val="2"/>
          <w:sz w:val="32"/>
          <w:szCs w:val="32"/>
          <w:highlight w:val="none"/>
          <w:lang w:val="en-US" w:eastAsia="zh-CN" w:bidi="ar"/>
        </w:rPr>
        <w:t>要求</w:t>
      </w:r>
      <w:r>
        <w:rPr>
          <w:rFonts w:hint="default" w:ascii="Times New Roman" w:hAnsi="Times New Roman" w:eastAsia="仿宋_GB2312" w:cs="仿宋_GB2312"/>
          <w:color w:val="auto"/>
          <w:kern w:val="2"/>
          <w:sz w:val="32"/>
          <w:szCs w:val="32"/>
          <w:highlight w:val="none"/>
          <w:lang w:val="en-US" w:eastAsia="zh-CN" w:bidi="ar"/>
        </w:rPr>
        <w:t>接入省平台</w:t>
      </w:r>
      <w:r>
        <w:rPr>
          <w:rFonts w:hint="eastAsia" w:ascii="Times New Roman" w:hAnsi="Times New Roman" w:eastAsia="宋体" w:cs="宋体"/>
          <w:color w:val="auto"/>
          <w:kern w:val="2"/>
          <w:sz w:val="32"/>
          <w:szCs w:val="32"/>
          <w:highlight w:val="none"/>
          <w:lang w:val="en-US" w:eastAsia="zh-CN" w:bidi="ar"/>
        </w:rPr>
        <w:t>，</w:t>
      </w:r>
      <w:r>
        <w:rPr>
          <w:rFonts w:hint="eastAsia" w:ascii="Times New Roman" w:hAnsi="Times New Roman" w:eastAsia="仿宋_GB2312" w:cs="仿宋_GB2312"/>
          <w:color w:val="auto"/>
          <w:kern w:val="2"/>
          <w:sz w:val="32"/>
          <w:szCs w:val="32"/>
          <w:highlight w:val="none"/>
          <w:lang w:val="en-US" w:eastAsia="zh-CN" w:bidi="ar"/>
        </w:rPr>
        <w:t>确保</w:t>
      </w:r>
      <w:r>
        <w:rPr>
          <w:rFonts w:hint="default" w:ascii="Times New Roman" w:hAnsi="Times New Roman" w:eastAsia="仿宋_GB2312" w:cs="仿宋_GB2312"/>
          <w:color w:val="auto"/>
          <w:kern w:val="2"/>
          <w:sz w:val="32"/>
          <w:szCs w:val="32"/>
          <w:highlight w:val="none"/>
          <w:lang w:val="en-US" w:eastAsia="zh-CN" w:bidi="ar"/>
        </w:rPr>
        <w:t>实现全省</w:t>
      </w:r>
      <w:r>
        <w:rPr>
          <w:rFonts w:hint="eastAsia" w:cs="仿宋_GB2312"/>
          <w:color w:val="auto"/>
          <w:kern w:val="2"/>
          <w:sz w:val="32"/>
          <w:szCs w:val="32"/>
          <w:highlight w:val="none"/>
          <w:lang w:val="en-US" w:eastAsia="zh-CN" w:bidi="ar"/>
        </w:rPr>
        <w:t>充电</w:t>
      </w:r>
      <w:r>
        <w:rPr>
          <w:rFonts w:hint="default" w:ascii="Times New Roman" w:hAnsi="Times New Roman" w:eastAsia="仿宋_GB2312" w:cs="仿宋_GB2312"/>
          <w:color w:val="auto"/>
          <w:kern w:val="2"/>
          <w:sz w:val="32"/>
          <w:szCs w:val="32"/>
          <w:highlight w:val="none"/>
          <w:lang w:val="en-US" w:eastAsia="zh-CN" w:bidi="ar"/>
        </w:rPr>
        <w:t>补能服务</w:t>
      </w:r>
      <w:r>
        <w:rPr>
          <w:rFonts w:hint="eastAsia" w:ascii="Times New Roman" w:hAnsi="Times New Roman" w:cs="仿宋_GB2312"/>
          <w:color w:val="auto"/>
          <w:kern w:val="2"/>
          <w:sz w:val="32"/>
          <w:szCs w:val="32"/>
          <w:highlight w:val="none"/>
          <w:lang w:val="en-US" w:eastAsia="zh-Hans" w:bidi="ar"/>
        </w:rPr>
        <w:t>“</w:t>
      </w:r>
      <w:r>
        <w:rPr>
          <w:rFonts w:hint="default" w:ascii="Times New Roman" w:hAnsi="Times New Roman" w:eastAsia="仿宋_GB2312" w:cs="仿宋_GB2312"/>
          <w:color w:val="auto"/>
          <w:kern w:val="2"/>
          <w:sz w:val="32"/>
          <w:szCs w:val="32"/>
          <w:highlight w:val="none"/>
          <w:lang w:val="en-US" w:eastAsia="zh-CN" w:bidi="ar"/>
        </w:rPr>
        <w:t>一张网</w:t>
      </w:r>
      <w:r>
        <w:rPr>
          <w:rFonts w:hint="eastAsia" w:ascii="Times New Roman" w:hAnsi="Times New Roman" w:cs="仿宋_GB2312"/>
          <w:color w:val="auto"/>
          <w:kern w:val="2"/>
          <w:sz w:val="32"/>
          <w:szCs w:val="32"/>
          <w:highlight w:val="none"/>
          <w:lang w:val="en-US" w:eastAsia="zh-Hans" w:bidi="ar"/>
        </w:rPr>
        <w:t>”</w:t>
      </w:r>
      <w:r>
        <w:rPr>
          <w:rFonts w:hint="eastAsia" w:ascii="Times New Roman" w:hAnsi="Times New Roman" w:cs="仿宋_GB2312"/>
          <w:color w:val="auto"/>
          <w:kern w:val="2"/>
          <w:sz w:val="32"/>
          <w:szCs w:val="32"/>
          <w:highlight w:val="none"/>
          <w:lang w:val="en-US" w:eastAsia="zh-CN" w:bidi="ar"/>
        </w:rPr>
        <w:t>数据互通互联</w:t>
      </w:r>
      <w:r>
        <w:rPr>
          <w:rFonts w:hint="default" w:ascii="Times New Roman" w:hAnsi="Times New Roman" w:eastAsia="仿宋_GB2312" w:cs="仿宋_GB2312"/>
          <w:color w:val="auto"/>
          <w:kern w:val="2"/>
          <w:sz w:val="32"/>
          <w:szCs w:val="32"/>
          <w:highlight w:val="none"/>
          <w:lang w:val="en-US" w:eastAsia="zh-CN" w:bidi="ar"/>
        </w:rPr>
        <w:t>。在完成平台对接并提交以下相关资料后，</w:t>
      </w:r>
      <w:r>
        <w:rPr>
          <w:rFonts w:hint="eastAsia" w:cs="仿宋_GB2312"/>
          <w:color w:val="auto"/>
          <w:kern w:val="2"/>
          <w:sz w:val="32"/>
          <w:szCs w:val="32"/>
          <w:highlight w:val="none"/>
          <w:lang w:val="en-US" w:eastAsia="zh-CN" w:bidi="ar"/>
        </w:rPr>
        <w:t>由</w:t>
      </w:r>
      <w:r>
        <w:rPr>
          <w:rFonts w:hint="default" w:ascii="Times New Roman" w:hAnsi="Times New Roman" w:eastAsia="仿宋_GB2312" w:cs="仿宋_GB2312"/>
          <w:color w:val="auto"/>
          <w:kern w:val="2"/>
          <w:sz w:val="32"/>
          <w:szCs w:val="32"/>
          <w:highlight w:val="none"/>
          <w:lang w:val="en-US" w:eastAsia="zh-CN" w:bidi="ar"/>
        </w:rPr>
        <w:t>省级平台</w:t>
      </w:r>
      <w:r>
        <w:rPr>
          <w:rFonts w:hint="eastAsia" w:ascii="Times New Roman" w:hAnsi="Times New Roman" w:cs="仿宋_GB2312"/>
          <w:color w:val="auto"/>
          <w:kern w:val="2"/>
          <w:sz w:val="32"/>
          <w:szCs w:val="32"/>
          <w:highlight w:val="none"/>
          <w:lang w:val="en-US" w:eastAsia="zh-Hans" w:bidi="ar"/>
        </w:rPr>
        <w:t>开具</w:t>
      </w:r>
      <w:r>
        <w:rPr>
          <w:rFonts w:hint="default" w:ascii="Times New Roman" w:hAnsi="Times New Roman" w:eastAsia="仿宋_GB2312" w:cs="仿宋_GB2312"/>
          <w:color w:val="auto"/>
          <w:kern w:val="2"/>
          <w:sz w:val="32"/>
          <w:szCs w:val="32"/>
          <w:highlight w:val="none"/>
          <w:lang w:val="en-US" w:eastAsia="zh-CN" w:bidi="ar"/>
        </w:rPr>
        <w:t>接入证明</w:t>
      </w:r>
      <w:r>
        <w:rPr>
          <w:rFonts w:hint="eastAsia" w:cs="仿宋_GB2312"/>
          <w:color w:val="auto"/>
          <w:kern w:val="2"/>
          <w:sz w:val="32"/>
          <w:szCs w:val="32"/>
          <w:highlight w:val="none"/>
          <w:lang w:val="en-US" w:eastAsia="zh-CN" w:bidi="ar"/>
        </w:rPr>
        <w:t>，作为申报补贴要件之一</w:t>
      </w:r>
      <w:r>
        <w:rPr>
          <w:rFonts w:hint="default" w:ascii="Times New Roman" w:hAnsi="Times New Roman" w:eastAsia="仿宋_GB2312" w:cs="仿宋_GB2312"/>
          <w:color w:val="auto"/>
          <w:kern w:val="2"/>
          <w:sz w:val="32"/>
          <w:szCs w:val="32"/>
          <w:highlight w:val="none"/>
          <w:lang w:val="en-US" w:eastAsia="zh-CN" w:bidi="ar"/>
        </w:rPr>
        <w:t>。相关资料包括：</w:t>
      </w:r>
    </w:p>
    <w:p w14:paraId="304D99AD">
      <w:pPr>
        <w:ind w:left="0" w:right="0" w:firstLine="640"/>
        <w:rPr>
          <w:rFonts w:ascii="Times New Roman" w:hAnsi="Times New Roman" w:eastAsia="仿宋_GB2312"/>
          <w:i w:val="0"/>
          <w:iCs w:val="0"/>
          <w:color w:val="auto"/>
          <w:highlight w:val="none"/>
        </w:rPr>
      </w:pPr>
      <w:r>
        <w:rPr>
          <w:rFonts w:hint="eastAsia" w:ascii="Times New Roman" w:hAnsi="Times New Roman" w:eastAsia="仿宋_GB2312" w:cs="宋体"/>
          <w:i w:val="0"/>
          <w:iCs w:val="0"/>
          <w:color w:val="auto"/>
          <w:highlight w:val="none"/>
        </w:rPr>
        <w:t>（</w:t>
      </w:r>
      <w:r>
        <w:rPr>
          <w:rFonts w:hint="eastAsia" w:ascii="Times New Roman" w:hAnsi="Times New Roman" w:cs="宋体"/>
          <w:i w:val="0"/>
          <w:iCs w:val="0"/>
          <w:color w:val="auto"/>
          <w:highlight w:val="none"/>
          <w:lang w:eastAsia="zh-CN"/>
        </w:rPr>
        <w:t>一</w:t>
      </w:r>
      <w:r>
        <w:rPr>
          <w:rFonts w:hint="eastAsia" w:ascii="Times New Roman" w:hAnsi="Times New Roman" w:eastAsia="仿宋_GB2312" w:cs="宋体"/>
          <w:i w:val="0"/>
          <w:iCs w:val="0"/>
          <w:color w:val="auto"/>
          <w:highlight w:val="none"/>
        </w:rPr>
        <w:t>）项目备案文件；</w:t>
      </w:r>
    </w:p>
    <w:p w14:paraId="142339FB">
      <w:pPr>
        <w:ind w:left="0" w:right="0" w:firstLine="640"/>
        <w:rPr>
          <w:rFonts w:ascii="Times New Roman" w:hAnsi="Times New Roman" w:eastAsia="仿宋_GB2312"/>
          <w:b/>
          <w:bCs/>
          <w:i w:val="0"/>
          <w:iCs w:val="0"/>
          <w:color w:val="auto"/>
          <w:highlight w:val="none"/>
        </w:rPr>
      </w:pPr>
      <w:r>
        <w:rPr>
          <w:rFonts w:hint="eastAsia" w:ascii="Times New Roman" w:hAnsi="Times New Roman" w:eastAsia="仿宋_GB2312" w:cs="宋体"/>
          <w:i w:val="0"/>
          <w:iCs w:val="0"/>
          <w:color w:val="auto"/>
          <w:highlight w:val="none"/>
        </w:rPr>
        <w:t>（</w:t>
      </w:r>
      <w:r>
        <w:rPr>
          <w:rFonts w:hint="eastAsia" w:ascii="Times New Roman" w:hAnsi="Times New Roman" w:cs="宋体"/>
          <w:i w:val="0"/>
          <w:iCs w:val="0"/>
          <w:color w:val="auto"/>
          <w:highlight w:val="none"/>
          <w:lang w:eastAsia="zh-CN"/>
        </w:rPr>
        <w:t>二</w:t>
      </w:r>
      <w:r>
        <w:rPr>
          <w:rFonts w:hint="eastAsia" w:ascii="Times New Roman" w:hAnsi="Times New Roman" w:eastAsia="仿宋_GB2312" w:cs="宋体"/>
          <w:i w:val="0"/>
          <w:iCs w:val="0"/>
          <w:color w:val="auto"/>
          <w:highlight w:val="none"/>
        </w:rPr>
        <w:t>）企业法人（项目法人）营业执照</w:t>
      </w:r>
      <w:r>
        <w:rPr>
          <w:rFonts w:hint="eastAsia" w:ascii="Times New Roman" w:hAnsi="Times New Roman" w:eastAsia="仿宋_GB2312" w:cs="仿宋"/>
          <w:i w:val="0"/>
          <w:iCs w:val="0"/>
          <w:color w:val="auto"/>
          <w:kern w:val="0"/>
          <w:szCs w:val="32"/>
          <w:highlight w:val="none"/>
          <w:lang w:bidi="zh-CN"/>
        </w:rPr>
        <w:t>（经营范围含电动汽车充</w:t>
      </w:r>
      <w:r>
        <w:rPr>
          <w:rFonts w:hint="eastAsia" w:ascii="Times New Roman" w:hAnsi="Times New Roman" w:cs="仿宋"/>
          <w:i w:val="0"/>
          <w:iCs w:val="0"/>
          <w:color w:val="auto"/>
          <w:kern w:val="0"/>
          <w:szCs w:val="32"/>
          <w:highlight w:val="none"/>
          <w:lang w:bidi="zh-CN"/>
        </w:rPr>
        <w:t>换</w:t>
      </w:r>
      <w:r>
        <w:rPr>
          <w:rFonts w:hint="eastAsia" w:ascii="Times New Roman" w:hAnsi="Times New Roman" w:eastAsia="仿宋_GB2312" w:cs="仿宋"/>
          <w:i w:val="0"/>
          <w:iCs w:val="0"/>
          <w:color w:val="auto"/>
          <w:kern w:val="0"/>
          <w:szCs w:val="32"/>
          <w:highlight w:val="none"/>
          <w:lang w:bidi="zh-CN"/>
        </w:rPr>
        <w:t>电设施建设运营）</w:t>
      </w:r>
      <w:r>
        <w:rPr>
          <w:rFonts w:hint="eastAsia" w:ascii="Times New Roman" w:hAnsi="Times New Roman" w:eastAsia="仿宋_GB2312" w:cs="宋体"/>
          <w:i w:val="0"/>
          <w:iCs w:val="0"/>
          <w:color w:val="auto"/>
          <w:highlight w:val="none"/>
        </w:rPr>
        <w:t>；</w:t>
      </w:r>
    </w:p>
    <w:p w14:paraId="11E02FD3">
      <w:pPr>
        <w:ind w:left="0" w:right="0" w:firstLine="640"/>
        <w:rPr>
          <w:rFonts w:hint="eastAsia" w:ascii="Times New Roman" w:hAnsi="Times New Roman" w:cs="仿宋"/>
          <w:i w:val="0"/>
          <w:iCs w:val="0"/>
          <w:color w:val="auto"/>
          <w:kern w:val="0"/>
          <w:szCs w:val="32"/>
          <w:highlight w:val="none"/>
          <w:lang w:bidi="zh-CN"/>
        </w:rPr>
      </w:pPr>
      <w:r>
        <w:rPr>
          <w:rFonts w:hint="eastAsia" w:ascii="Times New Roman" w:hAnsi="Times New Roman" w:eastAsia="仿宋_GB2312" w:cs="宋体"/>
          <w:i w:val="0"/>
          <w:iCs w:val="0"/>
          <w:color w:val="auto"/>
          <w:highlight w:val="none"/>
        </w:rPr>
        <w:t>（</w:t>
      </w:r>
      <w:r>
        <w:rPr>
          <w:rFonts w:hint="eastAsia" w:ascii="Times New Roman" w:hAnsi="Times New Roman" w:cs="宋体"/>
          <w:i w:val="0"/>
          <w:iCs w:val="0"/>
          <w:color w:val="auto"/>
          <w:highlight w:val="none"/>
          <w:lang w:eastAsia="zh-CN"/>
        </w:rPr>
        <w:t>三</w:t>
      </w:r>
      <w:r>
        <w:rPr>
          <w:rFonts w:hint="eastAsia" w:ascii="Times New Roman" w:hAnsi="Times New Roman" w:eastAsia="仿宋_GB2312" w:cs="宋体"/>
          <w:i w:val="0"/>
          <w:iCs w:val="0"/>
          <w:color w:val="auto"/>
          <w:highlight w:val="none"/>
        </w:rPr>
        <w:t>）</w:t>
      </w:r>
      <w:r>
        <w:rPr>
          <w:rFonts w:hint="eastAsia" w:ascii="Times New Roman" w:hAnsi="Times New Roman" w:eastAsia="仿宋_GB2312" w:cs="仿宋"/>
          <w:i w:val="0"/>
          <w:iCs w:val="0"/>
          <w:color w:val="auto"/>
          <w:kern w:val="0"/>
          <w:szCs w:val="32"/>
          <w:highlight w:val="none"/>
          <w:lang w:bidi="zh-CN"/>
        </w:rPr>
        <w:t>建设场地的土地使用证明；租赁场地，提供租期不少于5年的租赁合同</w:t>
      </w:r>
      <w:r>
        <w:rPr>
          <w:rFonts w:hint="eastAsia" w:ascii="Times New Roman" w:hAnsi="Times New Roman" w:cs="仿宋"/>
          <w:i w:val="0"/>
          <w:iCs w:val="0"/>
          <w:color w:val="auto"/>
          <w:kern w:val="0"/>
          <w:szCs w:val="32"/>
          <w:highlight w:val="none"/>
          <w:lang w:bidi="zh-CN"/>
        </w:rPr>
        <w:t>；</w:t>
      </w:r>
    </w:p>
    <w:p w14:paraId="29E94B0C">
      <w:pPr>
        <w:ind w:left="0" w:right="0" w:firstLine="640"/>
        <w:rPr>
          <w:rFonts w:hint="eastAsia" w:ascii="Times New Roman" w:hAnsi="Times New Roman" w:cs="仿宋"/>
          <w:i w:val="0"/>
          <w:iCs w:val="0"/>
          <w:color w:val="auto"/>
          <w:kern w:val="0"/>
          <w:szCs w:val="32"/>
          <w:highlight w:val="none"/>
          <w:lang w:bidi="zh-CN"/>
        </w:rPr>
      </w:pPr>
      <w:r>
        <w:rPr>
          <w:rFonts w:hint="eastAsia" w:ascii="Times New Roman" w:hAnsi="Times New Roman" w:eastAsia="仿宋_GB2312" w:cs="宋体"/>
          <w:color w:val="auto"/>
          <w:highlight w:val="none"/>
        </w:rPr>
        <w:t>（</w:t>
      </w:r>
      <w:r>
        <w:rPr>
          <w:rFonts w:hint="eastAsia" w:ascii="Times New Roman" w:hAnsi="Times New Roman" w:cs="宋体"/>
          <w:color w:val="auto"/>
          <w:highlight w:val="none"/>
          <w:lang w:eastAsia="zh-CN"/>
        </w:rPr>
        <w:t>四</w:t>
      </w:r>
      <w:r>
        <w:rPr>
          <w:rFonts w:hint="eastAsia" w:ascii="Times New Roman" w:hAnsi="Times New Roman" w:eastAsia="仿宋_GB2312" w:cs="宋体"/>
          <w:color w:val="auto"/>
          <w:highlight w:val="none"/>
        </w:rPr>
        <w:t>）设备合同，设备发票（复印件</w:t>
      </w:r>
      <w:r>
        <w:rPr>
          <w:rFonts w:hint="eastAsia" w:cs="宋体"/>
          <w:color w:val="auto"/>
          <w:highlight w:val="none"/>
          <w:lang w:eastAsia="zh-CN"/>
        </w:rPr>
        <w:t>，充电设备、光伏、储能设备均需单独提供购置发票</w:t>
      </w:r>
      <w:r>
        <w:rPr>
          <w:rFonts w:hint="eastAsia" w:ascii="Times New Roman" w:hAnsi="Times New Roman" w:eastAsia="仿宋_GB2312" w:cs="宋体"/>
          <w:color w:val="auto"/>
          <w:highlight w:val="none"/>
        </w:rPr>
        <w:t>），如是外文合同、发票，需附有中文译件；</w:t>
      </w:r>
    </w:p>
    <w:p w14:paraId="14C08B5B">
      <w:pPr>
        <w:ind w:left="0" w:right="0" w:firstLine="640"/>
        <w:rPr>
          <w:rFonts w:hint="eastAsia" w:ascii="Times New Roman" w:hAnsi="Times New Roman" w:eastAsia="仿宋_GB2312"/>
          <w:i w:val="0"/>
          <w:iCs w:val="0"/>
          <w:color w:val="auto"/>
          <w:highlight w:val="none"/>
          <w:lang w:eastAsia="zh-CN"/>
        </w:rPr>
      </w:pPr>
      <w:r>
        <w:rPr>
          <w:rFonts w:hint="eastAsia" w:ascii="Times New Roman" w:hAnsi="Times New Roman" w:eastAsia="仿宋_GB2312" w:cs="宋体"/>
          <w:i w:val="0"/>
          <w:iCs w:val="0"/>
          <w:color w:val="auto"/>
          <w:highlight w:val="none"/>
        </w:rPr>
        <w:t>（</w:t>
      </w:r>
      <w:r>
        <w:rPr>
          <w:rFonts w:hint="eastAsia" w:ascii="Times New Roman" w:hAnsi="Times New Roman" w:cs="宋体"/>
          <w:i w:val="0"/>
          <w:iCs w:val="0"/>
          <w:color w:val="auto"/>
          <w:highlight w:val="none"/>
          <w:lang w:eastAsia="zh-CN"/>
        </w:rPr>
        <w:t>五</w:t>
      </w:r>
      <w:r>
        <w:rPr>
          <w:rFonts w:hint="eastAsia" w:ascii="Times New Roman" w:hAnsi="Times New Roman" w:eastAsia="仿宋_GB2312" w:cs="宋体"/>
          <w:i w:val="0"/>
          <w:iCs w:val="0"/>
          <w:color w:val="auto"/>
          <w:highlight w:val="none"/>
        </w:rPr>
        <w:t>）项目验收合格证明（设备合格证书、建设安装方出具的验收合格证明</w:t>
      </w:r>
      <w:r>
        <w:rPr>
          <w:rFonts w:hint="eastAsia" w:ascii="Times New Roman" w:hAnsi="Times New Roman" w:eastAsia="仿宋_GB2312" w:cs="仿宋"/>
          <w:i w:val="0"/>
          <w:iCs w:val="0"/>
          <w:color w:val="auto"/>
          <w:kern w:val="0"/>
          <w:szCs w:val="32"/>
          <w:highlight w:val="none"/>
          <w:lang w:bidi="zh-CN"/>
        </w:rPr>
        <w:t>）</w:t>
      </w:r>
      <w:r>
        <w:rPr>
          <w:rFonts w:hint="eastAsia" w:ascii="Times New Roman" w:hAnsi="Times New Roman" w:eastAsia="仿宋_GB2312" w:cs="宋体"/>
          <w:i w:val="0"/>
          <w:iCs w:val="0"/>
          <w:color w:val="auto"/>
          <w:highlight w:val="none"/>
        </w:rPr>
        <w:t>；</w:t>
      </w:r>
    </w:p>
    <w:p w14:paraId="318F64AF">
      <w:pPr>
        <w:ind w:left="0" w:right="0" w:firstLine="640"/>
        <w:rPr>
          <w:rFonts w:ascii="Times New Roman" w:hAnsi="Times New Roman" w:eastAsia="仿宋_GB2312"/>
          <w:i w:val="0"/>
          <w:iCs w:val="0"/>
          <w:color w:val="auto"/>
          <w:highlight w:val="none"/>
        </w:rPr>
      </w:pPr>
      <w:r>
        <w:rPr>
          <w:rFonts w:hint="eastAsia" w:ascii="Times New Roman" w:hAnsi="Times New Roman" w:eastAsia="仿宋_GB2312" w:cs="宋体"/>
          <w:i w:val="0"/>
          <w:iCs w:val="0"/>
          <w:color w:val="auto"/>
          <w:highlight w:val="none"/>
        </w:rPr>
        <w:t>（</w:t>
      </w:r>
      <w:r>
        <w:rPr>
          <w:rFonts w:hint="eastAsia" w:ascii="Times New Roman" w:hAnsi="Times New Roman" w:cs="宋体"/>
          <w:i w:val="0"/>
          <w:iCs w:val="0"/>
          <w:color w:val="auto"/>
          <w:highlight w:val="none"/>
          <w:lang w:eastAsia="zh-CN"/>
        </w:rPr>
        <w:t>六</w:t>
      </w:r>
      <w:r>
        <w:rPr>
          <w:rFonts w:hint="eastAsia" w:ascii="Times New Roman" w:hAnsi="Times New Roman" w:eastAsia="仿宋_GB2312" w:cs="宋体"/>
          <w:i w:val="0"/>
          <w:iCs w:val="0"/>
          <w:color w:val="auto"/>
          <w:highlight w:val="none"/>
        </w:rPr>
        <w:t>）</w:t>
      </w:r>
      <w:r>
        <w:rPr>
          <w:rFonts w:hint="eastAsia" w:cs="宋体"/>
          <w:i w:val="0"/>
          <w:iCs w:val="0"/>
          <w:color w:val="auto"/>
          <w:highlight w:val="none"/>
          <w:lang w:eastAsia="zh-CN"/>
        </w:rPr>
        <w:t>充电</w:t>
      </w:r>
      <w:r>
        <w:rPr>
          <w:rFonts w:hint="eastAsia" w:ascii="Times New Roman" w:hAnsi="Times New Roman" w:eastAsia="仿宋_GB2312" w:cs="宋体"/>
          <w:i w:val="0"/>
          <w:iCs w:val="0"/>
          <w:color w:val="auto"/>
          <w:highlight w:val="none"/>
        </w:rPr>
        <w:t>设施投资清单（主要包括形成固定资产的配电、充电、监控、通讯、必要的配套土建等设施、设备投入</w:t>
      </w:r>
      <w:r>
        <w:rPr>
          <w:rFonts w:hint="eastAsia" w:ascii="Times New Roman" w:hAnsi="Times New Roman" w:eastAsia="仿宋_GB2312" w:cs="仿宋"/>
          <w:i w:val="0"/>
          <w:iCs w:val="0"/>
          <w:color w:val="auto"/>
          <w:kern w:val="0"/>
          <w:szCs w:val="32"/>
          <w:highlight w:val="none"/>
          <w:lang w:bidi="zh-CN"/>
        </w:rPr>
        <w:t>）</w:t>
      </w:r>
      <w:r>
        <w:rPr>
          <w:rFonts w:hint="eastAsia" w:ascii="Times New Roman" w:hAnsi="Times New Roman" w:eastAsia="仿宋_GB2312" w:cs="宋体"/>
          <w:i w:val="0"/>
          <w:iCs w:val="0"/>
          <w:color w:val="auto"/>
          <w:highlight w:val="none"/>
        </w:rPr>
        <w:t>；</w:t>
      </w:r>
    </w:p>
    <w:p w14:paraId="096F6203">
      <w:pPr>
        <w:ind w:left="0" w:right="0" w:firstLine="640"/>
        <w:rPr>
          <w:rFonts w:hint="eastAsia" w:cs="仿宋"/>
          <w:i w:val="0"/>
          <w:iCs w:val="0"/>
          <w:color w:val="auto"/>
          <w:kern w:val="0"/>
          <w:szCs w:val="32"/>
          <w:highlight w:val="none"/>
          <w:lang w:bidi="zh-CN"/>
        </w:rPr>
      </w:pPr>
      <w:r>
        <w:rPr>
          <w:rFonts w:hint="eastAsia" w:ascii="Times New Roman" w:hAnsi="Times New Roman" w:eastAsia="仿宋_GB2312" w:cs="宋体"/>
          <w:i w:val="0"/>
          <w:iCs w:val="0"/>
          <w:color w:val="auto"/>
          <w:highlight w:val="none"/>
        </w:rPr>
        <w:t>（</w:t>
      </w:r>
      <w:r>
        <w:rPr>
          <w:rFonts w:hint="eastAsia" w:ascii="Times New Roman" w:hAnsi="Times New Roman" w:cs="宋体"/>
          <w:i w:val="0"/>
          <w:iCs w:val="0"/>
          <w:color w:val="auto"/>
          <w:highlight w:val="none"/>
          <w:lang w:eastAsia="zh-CN"/>
        </w:rPr>
        <w:t>七</w:t>
      </w:r>
      <w:r>
        <w:rPr>
          <w:rFonts w:hint="eastAsia" w:ascii="Times New Roman" w:hAnsi="Times New Roman" w:eastAsia="仿宋_GB2312" w:cs="宋体"/>
          <w:i w:val="0"/>
          <w:iCs w:val="0"/>
          <w:color w:val="auto"/>
          <w:highlight w:val="none"/>
        </w:rPr>
        <w:t>）</w:t>
      </w:r>
      <w:r>
        <w:rPr>
          <w:rFonts w:hint="eastAsia" w:cs="仿宋"/>
          <w:i w:val="0"/>
          <w:iCs w:val="0"/>
          <w:color w:val="auto"/>
          <w:kern w:val="0"/>
          <w:szCs w:val="32"/>
          <w:highlight w:val="none"/>
          <w:lang w:bidi="zh-CN"/>
        </w:rPr>
        <w:t>充电</w:t>
      </w:r>
      <w:r>
        <w:rPr>
          <w:rFonts w:hint="eastAsia" w:ascii="Times New Roman" w:hAnsi="Times New Roman" w:eastAsia="仿宋_GB2312" w:cs="仿宋"/>
          <w:i w:val="0"/>
          <w:iCs w:val="0"/>
          <w:color w:val="auto"/>
          <w:kern w:val="0"/>
          <w:szCs w:val="32"/>
          <w:highlight w:val="none"/>
          <w:lang w:bidi="zh-CN"/>
        </w:rPr>
        <w:t>设施运营管理制度</w:t>
      </w:r>
      <w:r>
        <w:rPr>
          <w:rFonts w:hint="eastAsia" w:cs="仿宋"/>
          <w:i w:val="0"/>
          <w:iCs w:val="0"/>
          <w:color w:val="auto"/>
          <w:kern w:val="0"/>
          <w:szCs w:val="32"/>
          <w:highlight w:val="none"/>
          <w:lang w:bidi="zh-CN"/>
        </w:rPr>
        <w:t>，安全管理制度。</w:t>
      </w:r>
    </w:p>
    <w:p w14:paraId="675BBB7F">
      <w:pPr>
        <w:ind w:left="0" w:right="0" w:firstLine="640"/>
        <w:rPr>
          <w:rFonts w:hint="eastAsia" w:cs="仿宋"/>
          <w:i w:val="0"/>
          <w:iCs w:val="0"/>
          <w:color w:val="auto"/>
          <w:kern w:val="0"/>
          <w:szCs w:val="32"/>
          <w:highlight w:val="none"/>
          <w:lang w:bidi="zh-CN"/>
        </w:rPr>
      </w:pPr>
      <w:r>
        <w:rPr>
          <w:rFonts w:hint="eastAsia" w:cs="仿宋"/>
          <w:i w:val="0"/>
          <w:iCs w:val="0"/>
          <w:color w:val="auto"/>
          <w:kern w:val="0"/>
          <w:szCs w:val="32"/>
          <w:highlight w:val="none"/>
          <w:lang w:bidi="zh-CN"/>
        </w:rPr>
        <w:t>其他申报资料及要求，以当年度申报通知为准。</w:t>
      </w:r>
    </w:p>
    <w:p w14:paraId="775DB58E">
      <w:pPr>
        <w:ind w:firstLine="640" w:firstLineChars="200"/>
        <w:jc w:val="left"/>
        <w:rPr>
          <w:rFonts w:hint="eastAsia" w:ascii="Times New Roman" w:hAnsi="Times New Roman" w:eastAsia="仿宋_GB2312" w:cs="宋体"/>
          <w:color w:val="FF0000"/>
          <w:highlight w:val="none"/>
          <w:u w:val="none"/>
        </w:rPr>
      </w:pPr>
    </w:p>
    <w:p w14:paraId="38B65C8B">
      <w:pPr>
        <w:jc w:val="center"/>
        <w:rPr>
          <w:rFonts w:hint="eastAsia" w:ascii="Times New Roman" w:hAnsi="Times New Roman" w:eastAsia="黑体" w:cs="黑体"/>
          <w:color w:val="auto"/>
          <w:highlight w:val="none"/>
          <w:lang w:eastAsia="zh-CN"/>
        </w:rPr>
      </w:pPr>
      <w:r>
        <w:rPr>
          <w:rFonts w:hint="eastAsia" w:ascii="Times New Roman" w:hAnsi="Times New Roman" w:eastAsia="黑体" w:cs="黑体"/>
          <w:color w:val="auto"/>
          <w:highlight w:val="none"/>
        </w:rPr>
        <w:t>第</w:t>
      </w:r>
      <w:r>
        <w:rPr>
          <w:rFonts w:hint="eastAsia" w:eastAsia="黑体" w:cs="黑体"/>
          <w:color w:val="auto"/>
          <w:highlight w:val="none"/>
          <w:lang w:eastAsia="zh-CN"/>
        </w:rPr>
        <w:t>四</w:t>
      </w:r>
      <w:r>
        <w:rPr>
          <w:rFonts w:hint="eastAsia" w:ascii="Times New Roman" w:hAnsi="Times New Roman" w:eastAsia="黑体" w:cs="黑体"/>
          <w:color w:val="auto"/>
          <w:highlight w:val="none"/>
        </w:rPr>
        <w:t xml:space="preserve">章 </w:t>
      </w:r>
      <w:r>
        <w:rPr>
          <w:rFonts w:hint="eastAsia" w:eastAsia="黑体" w:cs="黑体"/>
          <w:color w:val="auto"/>
          <w:highlight w:val="none"/>
          <w:lang w:val="en-US" w:eastAsia="zh-CN"/>
        </w:rPr>
        <w:t xml:space="preserve"> </w:t>
      </w:r>
      <w:r>
        <w:rPr>
          <w:rFonts w:hint="eastAsia" w:ascii="Times New Roman" w:hAnsi="Times New Roman" w:eastAsia="国标黑体" w:cs="Times New Roman"/>
          <w:color w:val="auto"/>
          <w:spacing w:val="-6"/>
          <w:kern w:val="2"/>
          <w:sz w:val="32"/>
          <w:highlight w:val="none"/>
          <w:lang w:val="en-US" w:eastAsia="zh-CN"/>
        </w:rPr>
        <w:t>项目申报审核和</w:t>
      </w:r>
      <w:r>
        <w:rPr>
          <w:rFonts w:hint="default" w:ascii="Times New Roman" w:hAnsi="Times New Roman" w:eastAsia="国标黑体" w:cs="Times New Roman"/>
          <w:color w:val="auto"/>
          <w:spacing w:val="-6"/>
          <w:kern w:val="2"/>
          <w:sz w:val="32"/>
          <w:highlight w:val="none"/>
          <w:lang w:val="en-US" w:eastAsia="zh-CN"/>
        </w:rPr>
        <w:t>资金</w:t>
      </w:r>
      <w:r>
        <w:rPr>
          <w:rFonts w:hint="eastAsia" w:ascii="Times New Roman" w:hAnsi="Times New Roman" w:eastAsia="国标黑体" w:cs="Times New Roman"/>
          <w:color w:val="auto"/>
          <w:spacing w:val="-6"/>
          <w:kern w:val="2"/>
          <w:sz w:val="32"/>
          <w:highlight w:val="none"/>
          <w:lang w:val="en-US" w:eastAsia="zh-CN"/>
        </w:rPr>
        <w:t>分配下达</w:t>
      </w:r>
    </w:p>
    <w:p w14:paraId="0E43E6FD">
      <w:pPr>
        <w:ind w:left="0" w:right="0" w:firstLine="640"/>
        <w:rPr>
          <w:rFonts w:hint="eastAsia" w:ascii="Times New Roman" w:hAnsi="Times New Roman" w:eastAsia="仿宋_GB2312" w:cs="宋体"/>
          <w:color w:val="auto"/>
          <w:highlight w:val="none"/>
        </w:rPr>
      </w:pPr>
    </w:p>
    <w:p w14:paraId="46204C6D">
      <w:pPr>
        <w:ind w:left="0" w:right="0" w:firstLine="643"/>
        <w:rPr>
          <w:rFonts w:hint="eastAsia" w:cs="宋体"/>
          <w:color w:val="auto"/>
          <w:highlight w:val="none"/>
          <w:lang w:val="en-US" w:eastAsia="zh-CN"/>
        </w:rPr>
      </w:pPr>
      <w:r>
        <w:rPr>
          <w:rFonts w:hint="eastAsia" w:cs="宋体"/>
          <w:b/>
          <w:bCs/>
          <w:color w:val="auto"/>
          <w:highlight w:val="none"/>
          <w:lang w:val="en-US" w:eastAsia="zh-CN"/>
        </w:rPr>
        <w:t>第八条</w:t>
      </w:r>
      <w:r>
        <w:rPr>
          <w:rFonts w:hint="eastAsia" w:cs="宋体"/>
          <w:color w:val="auto"/>
          <w:highlight w:val="none"/>
          <w:lang w:val="en-US" w:eastAsia="zh-CN"/>
        </w:rPr>
        <w:t xml:space="preserve">  组织申报。</w:t>
      </w:r>
      <w:r>
        <w:rPr>
          <w:rFonts w:hint="eastAsia" w:cs="宋体"/>
          <w:strike w:val="0"/>
          <w:dstrike w:val="0"/>
          <w:color w:val="auto"/>
          <w:highlight w:val="none"/>
          <w:lang w:val="en-US" w:eastAsia="zh-CN"/>
        </w:rPr>
        <w:t>每年6月底前，省能源局会同省财政厅</w:t>
      </w:r>
      <w:r>
        <w:rPr>
          <w:rFonts w:hint="eastAsia" w:ascii="Times New Roman" w:hAnsi="Times New Roman" w:eastAsia="仿宋_GB2312" w:cs="仿宋_GB2312"/>
          <w:b w:val="0"/>
          <w:bCs w:val="0"/>
          <w:i w:val="0"/>
          <w:iCs w:val="0"/>
          <w:caps w:val="0"/>
          <w:color w:val="auto"/>
          <w:spacing w:val="4"/>
          <w:kern w:val="0"/>
          <w:sz w:val="32"/>
          <w:szCs w:val="32"/>
          <w:highlight w:val="none"/>
          <w:shd w:val="clear" w:color="auto" w:fill="FFFFFF"/>
          <w:lang w:val="en-US" w:eastAsia="zh-CN" w:bidi="ar"/>
        </w:rPr>
        <w:t>发布下一年度专项资金项目申报通知</w:t>
      </w:r>
      <w:r>
        <w:rPr>
          <w:rFonts w:hint="eastAsia" w:ascii="Times New Roman" w:hAnsi="Times New Roman" w:cs="仿宋_GB2312"/>
          <w:b w:val="0"/>
          <w:bCs w:val="0"/>
          <w:i w:val="0"/>
          <w:iCs w:val="0"/>
          <w:caps w:val="0"/>
          <w:color w:val="auto"/>
          <w:spacing w:val="4"/>
          <w:kern w:val="0"/>
          <w:sz w:val="32"/>
          <w:szCs w:val="32"/>
          <w:highlight w:val="none"/>
          <w:shd w:val="clear" w:color="auto" w:fill="FFFFFF"/>
          <w:lang w:val="en-US" w:eastAsia="zh-CN" w:bidi="ar"/>
        </w:rPr>
        <w:t>，</w:t>
      </w:r>
      <w:r>
        <w:rPr>
          <w:rFonts w:hint="eastAsia" w:cs="宋体"/>
          <w:strike w:val="0"/>
          <w:dstrike w:val="0"/>
          <w:color w:val="auto"/>
          <w:highlight w:val="none"/>
          <w:lang w:eastAsia="zh-CN"/>
        </w:rPr>
        <w:t>确定申报范围、支持重点、支持条件、上报材料和绩效目标。</w:t>
      </w:r>
      <w:r>
        <w:rPr>
          <w:rFonts w:hint="eastAsia" w:cs="宋体"/>
          <w:color w:val="auto"/>
          <w:highlight w:val="none"/>
          <w:lang w:val="en-US" w:eastAsia="zh-CN"/>
        </w:rPr>
        <w:t>各市（州）、县（市）发改（能源）会同当地财政部门，按照要求组织相关项目单位</w:t>
      </w:r>
      <w:r>
        <w:rPr>
          <w:rFonts w:hint="eastAsia" w:cs="宋体"/>
          <w:color w:val="auto"/>
          <w:highlight w:val="none"/>
          <w:lang w:eastAsia="zh-CN"/>
        </w:rPr>
        <w:t>填报</w:t>
      </w:r>
      <w:r>
        <w:rPr>
          <w:rFonts w:hint="eastAsia" w:ascii="Times New Roman" w:hAnsi="Times New Roman" w:eastAsia="仿宋_GB2312" w:cs="宋体"/>
          <w:color w:val="auto"/>
          <w:highlight w:val="none"/>
        </w:rPr>
        <w:t>《吉林省电动汽车</w:t>
      </w:r>
      <w:r>
        <w:rPr>
          <w:rFonts w:hint="eastAsia" w:cs="宋体"/>
          <w:strike w:val="0"/>
          <w:dstrike w:val="0"/>
          <w:color w:val="auto"/>
          <w:highlight w:val="none"/>
          <w:lang w:eastAsia="zh-CN"/>
        </w:rPr>
        <w:t>充</w:t>
      </w:r>
      <w:r>
        <w:rPr>
          <w:rFonts w:hint="eastAsia" w:ascii="Times New Roman" w:hAnsi="Times New Roman" w:eastAsia="仿宋_GB2312" w:cs="宋体"/>
          <w:color w:val="auto"/>
          <w:highlight w:val="none"/>
        </w:rPr>
        <w:t>电基础设施</w:t>
      </w:r>
      <w:r>
        <w:rPr>
          <w:rFonts w:hint="eastAsia" w:cs="宋体"/>
          <w:color w:val="auto"/>
          <w:highlight w:val="none"/>
          <w:lang w:eastAsia="zh-CN"/>
        </w:rPr>
        <w:t>建设专项</w:t>
      </w:r>
      <w:r>
        <w:rPr>
          <w:rFonts w:hint="eastAsia" w:ascii="Times New Roman" w:hAnsi="Times New Roman" w:eastAsia="仿宋_GB2312" w:cs="宋体"/>
          <w:color w:val="auto"/>
          <w:highlight w:val="none"/>
        </w:rPr>
        <w:t>资金申请表》，</w:t>
      </w:r>
      <w:r>
        <w:rPr>
          <w:rFonts w:hint="eastAsia" w:ascii="Times New Roman" w:hAnsi="Times New Roman" w:cs="宋体"/>
          <w:color w:val="auto"/>
          <w:highlight w:val="none"/>
          <w:lang w:eastAsia="zh-CN"/>
        </w:rPr>
        <w:t>按时</w:t>
      </w:r>
      <w:r>
        <w:rPr>
          <w:rFonts w:hint="eastAsia" w:ascii="Times New Roman" w:hAnsi="Times New Roman" w:eastAsia="仿宋_GB2312" w:cs="宋体"/>
          <w:color w:val="auto"/>
          <w:highlight w:val="none"/>
        </w:rPr>
        <w:t>将申请材料</w:t>
      </w:r>
      <w:r>
        <w:rPr>
          <w:rFonts w:hint="eastAsia" w:ascii="Times New Roman" w:hAnsi="Times New Roman" w:cs="宋体"/>
          <w:color w:val="auto"/>
          <w:highlight w:val="none"/>
          <w:lang w:eastAsia="zh-CN"/>
        </w:rPr>
        <w:t>电子版上传至省平台</w:t>
      </w:r>
      <w:r>
        <w:rPr>
          <w:rFonts w:hint="eastAsia" w:cs="宋体"/>
          <w:color w:val="auto"/>
          <w:highlight w:val="none"/>
          <w:lang w:val="en-US" w:eastAsia="zh-CN"/>
        </w:rPr>
        <w:t>。项目单位所属</w:t>
      </w:r>
      <w:r>
        <w:rPr>
          <w:rFonts w:hint="eastAsia" w:cs="宋体"/>
          <w:color w:val="auto"/>
          <w:highlight w:val="none"/>
          <w:lang w:eastAsia="zh-CN"/>
        </w:rPr>
        <w:t>充</w:t>
      </w:r>
      <w:r>
        <w:rPr>
          <w:rFonts w:hint="eastAsia" w:ascii="Times New Roman" w:hAnsi="Times New Roman" w:eastAsia="仿宋_GB2312" w:cs="宋体"/>
          <w:color w:val="auto"/>
          <w:highlight w:val="none"/>
        </w:rPr>
        <w:t>电</w:t>
      </w:r>
      <w:r>
        <w:rPr>
          <w:rFonts w:hint="eastAsia" w:cs="宋体"/>
          <w:color w:val="auto"/>
          <w:highlight w:val="none"/>
          <w:lang w:eastAsia="zh-CN"/>
        </w:rPr>
        <w:t>站，应按</w:t>
      </w:r>
      <w:r>
        <w:rPr>
          <w:rFonts w:hint="eastAsia" w:ascii="Times New Roman" w:hAnsi="Times New Roman" w:cs="宋体"/>
          <w:color w:val="auto"/>
          <w:highlight w:val="none"/>
          <w:lang w:eastAsia="zh-CN"/>
        </w:rPr>
        <w:t>要求接入省平台并正式运营后，</w:t>
      </w:r>
      <w:r>
        <w:rPr>
          <w:rFonts w:hint="eastAsia" w:ascii="Times New Roman" w:hAnsi="Times New Roman" w:eastAsia="仿宋_GB2312" w:cs="宋体"/>
          <w:color w:val="auto"/>
          <w:highlight w:val="none"/>
        </w:rPr>
        <w:t>次年方可具备申请</w:t>
      </w:r>
      <w:r>
        <w:rPr>
          <w:rFonts w:hint="eastAsia" w:cs="宋体"/>
          <w:color w:val="auto"/>
          <w:highlight w:val="none"/>
          <w:lang w:eastAsia="zh-CN"/>
        </w:rPr>
        <w:t>补贴</w:t>
      </w:r>
      <w:r>
        <w:rPr>
          <w:rFonts w:hint="eastAsia" w:ascii="Times New Roman" w:hAnsi="Times New Roman" w:eastAsia="仿宋_GB2312" w:cs="宋体"/>
          <w:color w:val="auto"/>
          <w:highlight w:val="none"/>
        </w:rPr>
        <w:t>资格。</w:t>
      </w:r>
    </w:p>
    <w:p w14:paraId="065B5ED7">
      <w:pPr>
        <w:ind w:left="0" w:right="0" w:firstLine="640"/>
        <w:rPr>
          <w:rFonts w:hint="eastAsia" w:ascii="Times New Roman" w:hAnsi="Times New Roman" w:eastAsia="仿宋_GB2312" w:cs="宋体"/>
          <w:color w:val="auto"/>
          <w:kern w:val="2"/>
          <w:sz w:val="32"/>
          <w:szCs w:val="24"/>
          <w:highlight w:val="none"/>
          <w:lang w:val="en-US" w:eastAsia="zh-CN" w:bidi="ar-SA"/>
        </w:rPr>
      </w:pPr>
      <w:r>
        <w:rPr>
          <w:rFonts w:hint="eastAsia" w:ascii="Times New Roman" w:hAnsi="Times New Roman" w:eastAsia="仿宋_GB2312" w:cs="宋体"/>
          <w:b/>
          <w:color w:val="auto"/>
          <w:highlight w:val="none"/>
        </w:rPr>
        <w:t>第</w:t>
      </w:r>
      <w:r>
        <w:rPr>
          <w:rFonts w:hint="eastAsia" w:cs="宋体"/>
          <w:b/>
          <w:color w:val="auto"/>
          <w:highlight w:val="none"/>
          <w:lang w:eastAsia="zh-CN"/>
        </w:rPr>
        <w:t>九</w:t>
      </w:r>
      <w:r>
        <w:rPr>
          <w:rFonts w:hint="eastAsia" w:ascii="Times New Roman" w:hAnsi="Times New Roman" w:eastAsia="仿宋_GB2312" w:cs="宋体"/>
          <w:b/>
          <w:color w:val="auto"/>
          <w:highlight w:val="none"/>
        </w:rPr>
        <w:t>条</w:t>
      </w:r>
      <w:r>
        <w:rPr>
          <w:rFonts w:hint="eastAsia" w:ascii="Times New Roman" w:hAnsi="Times New Roman" w:eastAsia="仿宋_GB2312" w:cs="宋体"/>
          <w:color w:val="auto"/>
          <w:highlight w:val="none"/>
        </w:rPr>
        <w:t xml:space="preserve"> </w:t>
      </w:r>
      <w:r>
        <w:rPr>
          <w:rFonts w:hint="eastAsia" w:cs="宋体"/>
          <w:color w:val="auto"/>
          <w:highlight w:val="none"/>
          <w:lang w:val="en-US" w:eastAsia="zh-CN"/>
        </w:rPr>
        <w:t xml:space="preserve"> 县（市）初审。</w:t>
      </w:r>
      <w:r>
        <w:rPr>
          <w:rFonts w:hint="eastAsia" w:ascii="Times New Roman" w:hAnsi="Times New Roman" w:eastAsia="仿宋_GB2312" w:cs="宋体"/>
          <w:color w:val="auto"/>
          <w:kern w:val="2"/>
          <w:sz w:val="32"/>
          <w:szCs w:val="24"/>
          <w:highlight w:val="none"/>
          <w:lang w:val="en-US" w:eastAsia="zh-CN" w:bidi="ar-SA"/>
        </w:rPr>
        <w:t>县（市、区）发改（能源）、财政</w:t>
      </w:r>
      <w:r>
        <w:rPr>
          <w:rFonts w:hint="eastAsia" w:ascii="Times New Roman" w:hAnsi="Times New Roman" w:eastAsia="仿宋_GB2312" w:cs="仿宋_GB2312"/>
          <w:b w:val="0"/>
          <w:bCs w:val="0"/>
          <w:color w:val="auto"/>
          <w:kern w:val="0"/>
          <w:sz w:val="32"/>
          <w:szCs w:val="32"/>
          <w:highlight w:val="none"/>
          <w:lang w:val="en-US" w:eastAsia="zh-CN"/>
        </w:rPr>
        <w:t>按照</w:t>
      </w:r>
      <w:r>
        <w:rPr>
          <w:rFonts w:hint="eastAsia" w:ascii="Times New Roman" w:hAnsi="Times New Roman" w:eastAsia="仿宋_GB2312" w:cs="宋体"/>
          <w:color w:val="auto"/>
          <w:kern w:val="2"/>
          <w:sz w:val="32"/>
          <w:szCs w:val="24"/>
          <w:highlight w:val="none"/>
          <w:lang w:val="en-US" w:eastAsia="zh-CN" w:bidi="ar-SA"/>
        </w:rPr>
        <w:t>要求</w:t>
      </w:r>
      <w:r>
        <w:rPr>
          <w:rFonts w:hint="eastAsia" w:cs="宋体"/>
          <w:color w:val="auto"/>
          <w:kern w:val="2"/>
          <w:sz w:val="32"/>
          <w:szCs w:val="24"/>
          <w:highlight w:val="none"/>
          <w:lang w:val="en-US" w:eastAsia="zh-CN" w:bidi="ar-SA"/>
        </w:rPr>
        <w:t>对</w:t>
      </w:r>
      <w:r>
        <w:rPr>
          <w:rFonts w:hint="eastAsia" w:ascii="Times New Roman" w:hAnsi="Times New Roman" w:eastAsia="仿宋_GB2312" w:cs="宋体"/>
          <w:color w:val="auto"/>
          <w:kern w:val="2"/>
          <w:sz w:val="32"/>
          <w:szCs w:val="24"/>
          <w:highlight w:val="none"/>
          <w:lang w:val="en-US" w:eastAsia="zh-CN" w:bidi="ar-SA"/>
        </w:rPr>
        <w:t>申报资料</w:t>
      </w:r>
      <w:r>
        <w:rPr>
          <w:rFonts w:hint="eastAsia" w:ascii="Times New Roman" w:hAnsi="Times New Roman" w:cs="宋体"/>
          <w:color w:val="auto"/>
          <w:kern w:val="2"/>
          <w:sz w:val="32"/>
          <w:szCs w:val="24"/>
          <w:highlight w:val="none"/>
          <w:lang w:val="en-US" w:eastAsia="zh-CN" w:bidi="ar-SA"/>
        </w:rPr>
        <w:t>初审，并逐一进行</w:t>
      </w:r>
      <w:r>
        <w:rPr>
          <w:rFonts w:hint="eastAsia" w:ascii="Times New Roman" w:hAnsi="Times New Roman" w:eastAsia="仿宋_GB2312" w:cs="宋体"/>
          <w:color w:val="auto"/>
          <w:kern w:val="2"/>
          <w:sz w:val="32"/>
          <w:szCs w:val="24"/>
          <w:highlight w:val="none"/>
          <w:lang w:val="en-US" w:eastAsia="zh-CN" w:bidi="ar-SA"/>
        </w:rPr>
        <w:t>现场验收</w:t>
      </w:r>
      <w:r>
        <w:rPr>
          <w:rFonts w:hint="eastAsia" w:cs="宋体"/>
          <w:color w:val="auto"/>
          <w:kern w:val="2"/>
          <w:sz w:val="32"/>
          <w:szCs w:val="24"/>
          <w:highlight w:val="none"/>
          <w:lang w:val="en-US" w:eastAsia="zh-CN" w:bidi="ar-SA"/>
        </w:rPr>
        <w:t>。</w:t>
      </w:r>
      <w:r>
        <w:rPr>
          <w:rFonts w:hint="eastAsia" w:ascii="Times New Roman" w:hAnsi="Times New Roman" w:eastAsia="仿宋_GB2312" w:cs="Times New Roman"/>
          <w:b w:val="0"/>
          <w:bCs w:val="0"/>
          <w:color w:val="auto"/>
          <w:kern w:val="0"/>
          <w:sz w:val="32"/>
          <w:szCs w:val="32"/>
          <w:highlight w:val="none"/>
          <w:lang w:val="en-US" w:eastAsia="zh-CN"/>
        </w:rPr>
        <w:t>重点审核内容包括但不限于：</w:t>
      </w:r>
      <w:r>
        <w:rPr>
          <w:rFonts w:hint="eastAsia" w:cs="Times New Roman"/>
          <w:b w:val="0"/>
          <w:bCs w:val="0"/>
          <w:color w:val="auto"/>
          <w:kern w:val="0"/>
          <w:sz w:val="32"/>
          <w:szCs w:val="32"/>
          <w:highlight w:val="none"/>
          <w:lang w:val="en-US" w:eastAsia="zh-CN"/>
        </w:rPr>
        <w:t>充</w:t>
      </w:r>
      <w:r>
        <w:rPr>
          <w:rFonts w:hint="eastAsia" w:ascii="Times New Roman" w:hAnsi="Times New Roman" w:eastAsia="仿宋_GB2312" w:cs="Times New Roman"/>
          <w:b w:val="0"/>
          <w:bCs w:val="0"/>
          <w:color w:val="auto"/>
          <w:kern w:val="0"/>
          <w:sz w:val="32"/>
          <w:szCs w:val="32"/>
          <w:highlight w:val="none"/>
          <w:lang w:val="en-US" w:eastAsia="zh-CN"/>
        </w:rPr>
        <w:t>电场站变压器容量与</w:t>
      </w:r>
      <w:r>
        <w:rPr>
          <w:rFonts w:hint="eastAsia" w:cs="Times New Roman"/>
          <w:b w:val="0"/>
          <w:bCs w:val="0"/>
          <w:color w:val="auto"/>
          <w:kern w:val="0"/>
          <w:sz w:val="32"/>
          <w:szCs w:val="32"/>
          <w:highlight w:val="none"/>
          <w:lang w:val="en-US" w:eastAsia="zh-CN"/>
        </w:rPr>
        <w:t>充电</w:t>
      </w:r>
      <w:r>
        <w:rPr>
          <w:rFonts w:hint="eastAsia" w:ascii="Times New Roman" w:hAnsi="Times New Roman" w:eastAsia="仿宋_GB2312" w:cs="Times New Roman"/>
          <w:b w:val="0"/>
          <w:bCs w:val="0"/>
          <w:color w:val="auto"/>
          <w:kern w:val="0"/>
          <w:sz w:val="32"/>
          <w:szCs w:val="32"/>
          <w:highlight w:val="none"/>
          <w:lang w:val="en-US" w:eastAsia="zh-CN"/>
        </w:rPr>
        <w:t>设备功率是否匹配</w:t>
      </w:r>
      <w:r>
        <w:rPr>
          <w:rFonts w:hint="eastAsia" w:ascii="Times New Roman" w:hAnsi="Times New Roman" w:cs="Times New Roman"/>
          <w:b w:val="0"/>
          <w:bCs w:val="0"/>
          <w:color w:val="auto"/>
          <w:kern w:val="0"/>
          <w:sz w:val="32"/>
          <w:szCs w:val="32"/>
          <w:highlight w:val="none"/>
          <w:lang w:val="en-US" w:eastAsia="zh-CN"/>
        </w:rPr>
        <w:t>；</w:t>
      </w:r>
      <w:r>
        <w:rPr>
          <w:rFonts w:hint="eastAsia" w:cs="Times New Roman"/>
          <w:b w:val="0"/>
          <w:bCs w:val="0"/>
          <w:color w:val="auto"/>
          <w:kern w:val="0"/>
          <w:sz w:val="32"/>
          <w:szCs w:val="32"/>
          <w:highlight w:val="none"/>
          <w:lang w:val="en-US" w:eastAsia="zh-CN"/>
        </w:rPr>
        <w:t>充</w:t>
      </w:r>
      <w:r>
        <w:rPr>
          <w:rFonts w:hint="eastAsia" w:ascii="Times New Roman" w:hAnsi="Times New Roman" w:eastAsia="仿宋_GB2312" w:cs="Times New Roman"/>
          <w:b w:val="0"/>
          <w:bCs w:val="0"/>
          <w:color w:val="auto"/>
          <w:kern w:val="0"/>
          <w:sz w:val="32"/>
          <w:szCs w:val="32"/>
          <w:highlight w:val="none"/>
          <w:lang w:val="en-US" w:eastAsia="zh-CN"/>
        </w:rPr>
        <w:t>电场站设备总功率与申报材料是否一致</w:t>
      </w:r>
      <w:r>
        <w:rPr>
          <w:rFonts w:hint="eastAsia" w:ascii="Times New Roman" w:hAnsi="Times New Roman" w:cs="Times New Roman"/>
          <w:b w:val="0"/>
          <w:bCs w:val="0"/>
          <w:color w:val="auto"/>
          <w:kern w:val="0"/>
          <w:sz w:val="32"/>
          <w:szCs w:val="32"/>
          <w:highlight w:val="none"/>
          <w:lang w:val="en-US" w:eastAsia="zh-CN"/>
        </w:rPr>
        <w:t>；</w:t>
      </w:r>
      <w:r>
        <w:rPr>
          <w:rFonts w:hint="eastAsia" w:ascii="Times New Roman" w:hAnsi="Times New Roman" w:eastAsia="仿宋_GB2312" w:cs="Times New Roman"/>
          <w:b w:val="0"/>
          <w:bCs w:val="0"/>
          <w:color w:val="auto"/>
          <w:kern w:val="0"/>
          <w:sz w:val="32"/>
          <w:szCs w:val="32"/>
          <w:highlight w:val="none"/>
          <w:lang w:val="en-US" w:eastAsia="zh-CN"/>
        </w:rPr>
        <w:t>变压器容量与供电合同是否一致</w:t>
      </w:r>
      <w:r>
        <w:rPr>
          <w:rFonts w:hint="eastAsia" w:ascii="Times New Roman" w:hAnsi="Times New Roman" w:cs="Times New Roman"/>
          <w:b w:val="0"/>
          <w:bCs w:val="0"/>
          <w:color w:val="auto"/>
          <w:kern w:val="0"/>
          <w:sz w:val="32"/>
          <w:szCs w:val="32"/>
          <w:highlight w:val="none"/>
          <w:lang w:val="en-US" w:eastAsia="zh-CN"/>
        </w:rPr>
        <w:t>；</w:t>
      </w:r>
      <w:r>
        <w:rPr>
          <w:rFonts w:hint="eastAsia" w:cs="Times New Roman"/>
          <w:b w:val="0"/>
          <w:bCs w:val="0"/>
          <w:color w:val="auto"/>
          <w:kern w:val="0"/>
          <w:sz w:val="32"/>
          <w:szCs w:val="32"/>
          <w:highlight w:val="none"/>
          <w:lang w:val="en-US" w:eastAsia="zh-CN"/>
        </w:rPr>
        <w:t>充</w:t>
      </w:r>
      <w:r>
        <w:rPr>
          <w:rFonts w:hint="eastAsia" w:ascii="Times New Roman" w:hAnsi="Times New Roman" w:eastAsia="仿宋_GB2312" w:cs="Times New Roman"/>
          <w:b w:val="0"/>
          <w:bCs w:val="0"/>
          <w:color w:val="auto"/>
          <w:kern w:val="0"/>
          <w:sz w:val="32"/>
          <w:szCs w:val="32"/>
          <w:highlight w:val="none"/>
          <w:lang w:val="en-US" w:eastAsia="zh-CN"/>
        </w:rPr>
        <w:t>电设备、配套电力设备的安装建设是否符合相关安全标准等。对</w:t>
      </w:r>
      <w:r>
        <w:rPr>
          <w:rFonts w:hint="eastAsia" w:ascii="Times New Roman" w:hAnsi="Times New Roman" w:cs="Times New Roman"/>
          <w:b w:val="0"/>
          <w:bCs w:val="0"/>
          <w:color w:val="auto"/>
          <w:kern w:val="0"/>
          <w:sz w:val="32"/>
          <w:szCs w:val="32"/>
          <w:highlight w:val="none"/>
          <w:lang w:val="en-US" w:eastAsia="zh-CN"/>
        </w:rPr>
        <w:t>审核</w:t>
      </w:r>
      <w:r>
        <w:rPr>
          <w:rFonts w:hint="eastAsia" w:ascii="Times New Roman" w:hAnsi="Times New Roman" w:eastAsia="仿宋_GB2312" w:cs="Times New Roman"/>
          <w:b w:val="0"/>
          <w:bCs w:val="0"/>
          <w:color w:val="auto"/>
          <w:kern w:val="0"/>
          <w:sz w:val="32"/>
          <w:szCs w:val="32"/>
          <w:highlight w:val="none"/>
          <w:lang w:val="en-US" w:eastAsia="zh-CN"/>
        </w:rPr>
        <w:t>中出现的问题及时反馈给申报单位并督促其限期按要求</w:t>
      </w:r>
      <w:r>
        <w:rPr>
          <w:rFonts w:hint="eastAsia" w:ascii="Times New Roman" w:hAnsi="Times New Roman" w:cs="Times New Roman"/>
          <w:b w:val="0"/>
          <w:bCs w:val="0"/>
          <w:color w:val="auto"/>
          <w:kern w:val="0"/>
          <w:sz w:val="32"/>
          <w:szCs w:val="32"/>
          <w:highlight w:val="none"/>
          <w:lang w:val="en-US" w:eastAsia="zh-CN"/>
        </w:rPr>
        <w:t>整改</w:t>
      </w:r>
      <w:r>
        <w:rPr>
          <w:rFonts w:hint="eastAsia" w:ascii="Times New Roman" w:hAnsi="Times New Roman" w:eastAsia="仿宋_GB2312" w:cs="Times New Roman"/>
          <w:b w:val="0"/>
          <w:bCs w:val="0"/>
          <w:color w:val="auto"/>
          <w:kern w:val="0"/>
          <w:sz w:val="32"/>
          <w:szCs w:val="32"/>
          <w:highlight w:val="none"/>
          <w:lang w:val="en-US" w:eastAsia="zh-CN"/>
        </w:rPr>
        <w:t>。</w:t>
      </w:r>
      <w:r>
        <w:rPr>
          <w:rFonts w:hint="eastAsia" w:ascii="Times New Roman" w:hAnsi="Times New Roman" w:eastAsia="仿宋_GB2312" w:cs="宋体"/>
          <w:color w:val="auto"/>
          <w:kern w:val="2"/>
          <w:sz w:val="32"/>
          <w:szCs w:val="24"/>
          <w:highlight w:val="none"/>
          <w:lang w:val="en-US" w:eastAsia="zh-CN" w:bidi="ar-SA"/>
        </w:rPr>
        <w:t>验收通过的</w:t>
      </w:r>
      <w:r>
        <w:rPr>
          <w:rFonts w:hint="eastAsia" w:cs="宋体"/>
          <w:color w:val="auto"/>
          <w:kern w:val="2"/>
          <w:sz w:val="32"/>
          <w:szCs w:val="24"/>
          <w:highlight w:val="none"/>
          <w:lang w:val="en-US" w:eastAsia="zh-CN" w:bidi="ar-SA"/>
        </w:rPr>
        <w:t>，</w:t>
      </w:r>
      <w:r>
        <w:rPr>
          <w:rFonts w:hint="eastAsia" w:ascii="Times New Roman" w:hAnsi="Times New Roman" w:eastAsia="仿宋_GB2312" w:cs="宋体"/>
          <w:color w:val="auto"/>
          <w:kern w:val="2"/>
          <w:sz w:val="32"/>
          <w:szCs w:val="24"/>
          <w:highlight w:val="none"/>
          <w:lang w:val="en-US" w:eastAsia="zh-CN" w:bidi="ar-SA"/>
        </w:rPr>
        <w:t>申报材料报送市（州）发改（能源）、财政部门。</w:t>
      </w:r>
    </w:p>
    <w:p w14:paraId="37D3C073">
      <w:pPr>
        <w:ind w:left="0" w:right="0" w:firstLine="640"/>
        <w:rPr>
          <w:rFonts w:hint="eastAsia" w:ascii="Times New Roman" w:hAnsi="Times New Roman" w:eastAsia="仿宋_GB2312" w:cs="仿宋_GB2312"/>
          <w:b w:val="0"/>
          <w:bCs w:val="0"/>
          <w:color w:val="auto"/>
          <w:kern w:val="0"/>
          <w:sz w:val="32"/>
          <w:szCs w:val="32"/>
          <w:highlight w:val="none"/>
          <w:lang w:val="en-US" w:eastAsia="zh-CN"/>
        </w:rPr>
      </w:pPr>
      <w:r>
        <w:rPr>
          <w:rFonts w:hint="eastAsia" w:cs="宋体"/>
          <w:b/>
          <w:color w:val="auto"/>
          <w:highlight w:val="none"/>
          <w:lang w:val="en-US" w:eastAsia="zh-CN"/>
        </w:rPr>
        <w:t>第十条</w:t>
      </w:r>
      <w:r>
        <w:rPr>
          <w:rFonts w:hint="eastAsia" w:cs="宋体"/>
          <w:color w:val="auto"/>
          <w:kern w:val="2"/>
          <w:sz w:val="32"/>
          <w:szCs w:val="24"/>
          <w:highlight w:val="none"/>
          <w:lang w:val="en-US" w:eastAsia="zh-CN" w:bidi="ar-SA"/>
        </w:rPr>
        <w:t xml:space="preserve">  </w:t>
      </w:r>
      <w:r>
        <w:rPr>
          <w:rFonts w:hint="eastAsia" w:ascii="Times New Roman" w:hAnsi="Times New Roman" w:eastAsia="仿宋_GB2312" w:cs="仿宋_GB2312"/>
          <w:b w:val="0"/>
          <w:bCs w:val="0"/>
          <w:color w:val="auto"/>
          <w:kern w:val="0"/>
          <w:sz w:val="32"/>
          <w:szCs w:val="32"/>
          <w:highlight w:val="none"/>
          <w:lang w:val="en-US" w:eastAsia="zh-CN"/>
        </w:rPr>
        <w:t>市</w:t>
      </w:r>
      <w:r>
        <w:rPr>
          <w:rFonts w:hint="eastAsia" w:ascii="Times New Roman" w:hAnsi="Times New Roman" w:eastAsia="仿宋_GB2312" w:cs="宋体"/>
          <w:color w:val="auto"/>
          <w:kern w:val="2"/>
          <w:sz w:val="32"/>
          <w:szCs w:val="24"/>
          <w:highlight w:val="none"/>
          <w:lang w:val="en-US" w:eastAsia="zh-CN" w:bidi="ar-SA"/>
        </w:rPr>
        <w:t>（州）</w:t>
      </w:r>
      <w:r>
        <w:rPr>
          <w:rFonts w:hint="eastAsia" w:cs="宋体"/>
          <w:color w:val="auto"/>
          <w:kern w:val="2"/>
          <w:sz w:val="32"/>
          <w:szCs w:val="24"/>
          <w:highlight w:val="none"/>
          <w:lang w:val="en-US" w:eastAsia="zh-CN" w:bidi="ar-SA"/>
        </w:rPr>
        <w:t>复审。</w:t>
      </w:r>
      <w:r>
        <w:rPr>
          <w:rFonts w:hint="eastAsia" w:ascii="Times New Roman" w:hAnsi="Times New Roman" w:eastAsia="仿宋_GB2312" w:cs="仿宋_GB2312"/>
          <w:b w:val="0"/>
          <w:bCs w:val="0"/>
          <w:color w:val="auto"/>
          <w:kern w:val="0"/>
          <w:sz w:val="32"/>
          <w:szCs w:val="32"/>
          <w:highlight w:val="none"/>
          <w:lang w:val="en-US" w:eastAsia="zh-CN"/>
        </w:rPr>
        <w:t>市</w:t>
      </w:r>
      <w:r>
        <w:rPr>
          <w:rFonts w:hint="eastAsia" w:ascii="Times New Roman" w:hAnsi="Times New Roman" w:eastAsia="仿宋_GB2312" w:cs="宋体"/>
          <w:color w:val="auto"/>
          <w:kern w:val="2"/>
          <w:sz w:val="32"/>
          <w:szCs w:val="24"/>
          <w:highlight w:val="none"/>
          <w:lang w:val="en-US" w:eastAsia="zh-CN" w:bidi="ar-SA"/>
        </w:rPr>
        <w:t>（州）发改（能源）</w:t>
      </w:r>
      <w:r>
        <w:rPr>
          <w:rFonts w:hint="eastAsia" w:ascii="Times New Roman" w:hAnsi="Times New Roman" w:eastAsia="仿宋_GB2312" w:cs="仿宋_GB2312"/>
          <w:b w:val="0"/>
          <w:bCs w:val="0"/>
          <w:color w:val="auto"/>
          <w:kern w:val="0"/>
          <w:sz w:val="32"/>
          <w:szCs w:val="32"/>
          <w:highlight w:val="none"/>
          <w:lang w:val="en-US" w:eastAsia="zh-CN"/>
        </w:rPr>
        <w:t>、财政部门可根据本地申报项目数量，</w:t>
      </w:r>
      <w:r>
        <w:rPr>
          <w:rFonts w:hint="eastAsia" w:ascii="Times New Roman" w:hAnsi="Times New Roman" w:cs="仿宋_GB2312"/>
          <w:b w:val="0"/>
          <w:bCs w:val="0"/>
          <w:color w:val="auto"/>
          <w:kern w:val="0"/>
          <w:sz w:val="32"/>
          <w:szCs w:val="32"/>
          <w:highlight w:val="none"/>
          <w:lang w:val="en-US" w:eastAsia="zh-CN"/>
        </w:rPr>
        <w:t>以</w:t>
      </w:r>
      <w:r>
        <w:rPr>
          <w:rFonts w:hint="eastAsia" w:ascii="Times New Roman" w:hAnsi="Times New Roman" w:eastAsia="仿宋_GB2312" w:cs="仿宋_GB2312"/>
          <w:b w:val="0"/>
          <w:bCs w:val="0"/>
          <w:color w:val="auto"/>
          <w:kern w:val="0"/>
          <w:sz w:val="32"/>
          <w:szCs w:val="32"/>
          <w:highlight w:val="none"/>
          <w:lang w:val="en-US" w:eastAsia="zh-CN"/>
        </w:rPr>
        <w:t>抽检形式开展现场审核</w:t>
      </w:r>
      <w:r>
        <w:rPr>
          <w:rFonts w:hint="eastAsia" w:cs="仿宋_GB2312"/>
          <w:b w:val="0"/>
          <w:bCs w:val="0"/>
          <w:color w:val="auto"/>
          <w:kern w:val="0"/>
          <w:sz w:val="32"/>
          <w:szCs w:val="32"/>
          <w:highlight w:val="none"/>
          <w:lang w:val="en-US" w:eastAsia="zh-CN"/>
        </w:rPr>
        <w:t>。按照审核结果形成正式申请报告</w:t>
      </w:r>
      <w:r>
        <w:rPr>
          <w:rFonts w:hint="eastAsia" w:ascii="Times New Roman" w:hAnsi="Times New Roman" w:eastAsia="仿宋_GB2312" w:cs="仿宋_GB2312"/>
          <w:b w:val="0"/>
          <w:bCs w:val="0"/>
          <w:color w:val="auto"/>
          <w:kern w:val="0"/>
          <w:sz w:val="32"/>
          <w:szCs w:val="32"/>
          <w:highlight w:val="none"/>
          <w:lang w:val="en-US" w:eastAsia="zh-CN"/>
        </w:rPr>
        <w:t>，</w:t>
      </w:r>
      <w:r>
        <w:rPr>
          <w:rFonts w:hint="eastAsia" w:cs="仿宋_GB2312"/>
          <w:b w:val="0"/>
          <w:bCs w:val="0"/>
          <w:color w:val="auto"/>
          <w:kern w:val="0"/>
          <w:sz w:val="32"/>
          <w:szCs w:val="32"/>
          <w:highlight w:val="none"/>
          <w:lang w:val="en-US" w:eastAsia="zh-CN"/>
        </w:rPr>
        <w:t>联合行文上报</w:t>
      </w:r>
      <w:r>
        <w:rPr>
          <w:rFonts w:hint="eastAsia" w:ascii="Times New Roman" w:hAnsi="Times New Roman" w:eastAsia="仿宋_GB2312" w:cs="仿宋_GB2312"/>
          <w:b w:val="0"/>
          <w:bCs w:val="0"/>
          <w:color w:val="auto"/>
          <w:kern w:val="0"/>
          <w:sz w:val="32"/>
          <w:szCs w:val="32"/>
          <w:highlight w:val="none"/>
          <w:lang w:val="en-US" w:eastAsia="zh-CN"/>
        </w:rPr>
        <w:t>省</w:t>
      </w:r>
      <w:r>
        <w:rPr>
          <w:rFonts w:hint="eastAsia" w:cs="仿宋_GB2312"/>
          <w:b w:val="0"/>
          <w:bCs w:val="0"/>
          <w:color w:val="auto"/>
          <w:kern w:val="0"/>
          <w:sz w:val="32"/>
          <w:szCs w:val="32"/>
          <w:highlight w:val="none"/>
          <w:lang w:val="en-US" w:eastAsia="zh-CN"/>
        </w:rPr>
        <w:t>能源局，</w:t>
      </w:r>
      <w:r>
        <w:rPr>
          <w:rFonts w:hint="eastAsia" w:ascii="Times New Roman" w:hAnsi="Times New Roman" w:eastAsia="仿宋_GB2312" w:cs="仿宋_GB2312"/>
          <w:b w:val="0"/>
          <w:bCs w:val="0"/>
          <w:color w:val="auto"/>
          <w:kern w:val="0"/>
          <w:sz w:val="32"/>
          <w:szCs w:val="32"/>
          <w:highlight w:val="none"/>
          <w:lang w:val="en-US" w:eastAsia="zh-CN"/>
        </w:rPr>
        <w:t>现场审核报告随申报材料一并报送。</w:t>
      </w:r>
    </w:p>
    <w:p w14:paraId="2584F4AC">
      <w:pPr>
        <w:ind w:left="0" w:right="0" w:firstLine="640"/>
        <w:rPr>
          <w:rFonts w:hint="eastAsia" w:cs="宋体"/>
          <w:color w:val="auto"/>
          <w:highlight w:val="none"/>
          <w:lang w:eastAsia="zh-CN"/>
        </w:rPr>
      </w:pPr>
      <w:r>
        <w:rPr>
          <w:rFonts w:hint="eastAsia" w:cs="宋体"/>
          <w:b/>
          <w:color w:val="auto"/>
          <w:highlight w:val="none"/>
          <w:lang w:val="en-US" w:eastAsia="zh-CN"/>
        </w:rPr>
        <w:t>第十一条</w:t>
      </w:r>
      <w:r>
        <w:rPr>
          <w:rFonts w:hint="eastAsia" w:cs="仿宋_GB2312"/>
          <w:b w:val="0"/>
          <w:bCs w:val="0"/>
          <w:color w:val="auto"/>
          <w:kern w:val="0"/>
          <w:sz w:val="32"/>
          <w:szCs w:val="32"/>
          <w:highlight w:val="none"/>
          <w:lang w:val="en-US" w:eastAsia="zh-CN"/>
        </w:rPr>
        <w:t xml:space="preserve">  省级部门审核。</w:t>
      </w:r>
      <w:r>
        <w:rPr>
          <w:rFonts w:hint="eastAsia" w:ascii="Times New Roman" w:hAnsi="Times New Roman" w:eastAsia="仿宋_GB2312" w:cs="宋体"/>
          <w:color w:val="auto"/>
          <w:highlight w:val="none"/>
        </w:rPr>
        <w:t>省能源局</w:t>
      </w:r>
      <w:r>
        <w:rPr>
          <w:rFonts w:hint="eastAsia" w:cs="宋体"/>
          <w:color w:val="auto"/>
          <w:highlight w:val="none"/>
          <w:lang w:eastAsia="zh-CN"/>
        </w:rPr>
        <w:t>负责对申报项目进行审核，</w:t>
      </w:r>
      <w:r>
        <w:rPr>
          <w:rFonts w:hint="eastAsia" w:ascii="Times New Roman" w:hAnsi="Times New Roman" w:cs="宋体"/>
          <w:color w:val="auto"/>
          <w:highlight w:val="none"/>
          <w:lang w:eastAsia="zh-CN"/>
        </w:rPr>
        <w:t>组织</w:t>
      </w:r>
      <w:r>
        <w:rPr>
          <w:rFonts w:ascii="Times New Roman" w:hAnsi="Times New Roman" w:eastAsia="仿宋_GB2312" w:cs="宋体"/>
          <w:color w:val="auto"/>
          <w:highlight w:val="none"/>
        </w:rPr>
        <w:t>第三方机构</w:t>
      </w:r>
      <w:r>
        <w:rPr>
          <w:rFonts w:hint="eastAsia" w:ascii="Times New Roman" w:hAnsi="Times New Roman" w:cs="宋体"/>
          <w:color w:val="auto"/>
          <w:highlight w:val="none"/>
          <w:lang w:eastAsia="zh-CN"/>
        </w:rPr>
        <w:t>、</w:t>
      </w:r>
      <w:r>
        <w:rPr>
          <w:rFonts w:hint="eastAsia" w:ascii="Times New Roman" w:hAnsi="Times New Roman" w:eastAsia="仿宋_GB2312" w:cs="宋体"/>
          <w:color w:val="auto"/>
          <w:highlight w:val="none"/>
        </w:rPr>
        <w:t>相关部门</w:t>
      </w:r>
      <w:r>
        <w:rPr>
          <w:rFonts w:hint="eastAsia" w:ascii="Times New Roman" w:hAnsi="Times New Roman" w:cs="宋体"/>
          <w:color w:val="auto"/>
          <w:highlight w:val="none"/>
          <w:lang w:eastAsia="zh-CN"/>
        </w:rPr>
        <w:t>及专家</w:t>
      </w:r>
      <w:r>
        <w:rPr>
          <w:rFonts w:hint="eastAsia" w:ascii="Times New Roman" w:hAnsi="Times New Roman" w:eastAsia="仿宋_GB2312" w:cs="宋体"/>
          <w:color w:val="auto"/>
          <w:highlight w:val="none"/>
        </w:rPr>
        <w:t>进行现场抽查，并结合</w:t>
      </w:r>
      <w:r>
        <w:rPr>
          <w:rFonts w:hint="eastAsia" w:cs="宋体"/>
          <w:color w:val="auto"/>
          <w:highlight w:val="none"/>
          <w:lang w:eastAsia="zh-CN"/>
        </w:rPr>
        <w:t>市（州）申报情况</w:t>
      </w:r>
      <w:r>
        <w:rPr>
          <w:rFonts w:hint="eastAsia" w:ascii="Times New Roman" w:hAnsi="Times New Roman" w:eastAsia="仿宋_GB2312" w:cs="宋体"/>
          <w:color w:val="auto"/>
          <w:highlight w:val="none"/>
        </w:rPr>
        <w:t>，</w:t>
      </w:r>
      <w:r>
        <w:rPr>
          <w:rFonts w:hint="eastAsia" w:cs="宋体"/>
          <w:color w:val="auto"/>
          <w:highlight w:val="none"/>
          <w:lang w:eastAsia="zh-CN"/>
        </w:rPr>
        <w:t>形成拟支持项目。</w:t>
      </w:r>
    </w:p>
    <w:p w14:paraId="040EE7FB">
      <w:pPr>
        <w:spacing w:line="560" w:lineRule="exact"/>
        <w:ind w:left="0" w:right="0" w:firstLine="643" w:firstLineChars="200"/>
        <w:rPr>
          <w:rFonts w:hint="eastAsia" w:cs="宋体"/>
          <w:color w:val="auto"/>
          <w:highlight w:val="none"/>
          <w:lang w:eastAsia="zh-CN"/>
        </w:rPr>
      </w:pPr>
      <w:r>
        <w:rPr>
          <w:rFonts w:hint="eastAsia" w:cs="宋体"/>
          <w:b/>
          <w:color w:val="auto"/>
          <w:highlight w:val="none"/>
          <w:lang w:eastAsia="zh-CN"/>
        </w:rPr>
        <w:t>第十二条</w:t>
      </w:r>
      <w:r>
        <w:rPr>
          <w:rFonts w:hint="eastAsia" w:cs="宋体"/>
          <w:color w:val="auto"/>
          <w:highlight w:val="none"/>
          <w:lang w:val="en-US" w:eastAsia="zh-CN"/>
        </w:rPr>
        <w:t xml:space="preserve">  网上公示。在</w:t>
      </w:r>
      <w:r>
        <w:rPr>
          <w:rFonts w:hint="eastAsia" w:ascii="Times New Roman" w:hAnsi="Times New Roman" w:eastAsia="仿宋_GB2312" w:cs="宋体"/>
          <w:color w:val="auto"/>
          <w:highlight w:val="none"/>
        </w:rPr>
        <w:t>省能源局</w:t>
      </w:r>
      <w:r>
        <w:rPr>
          <w:rFonts w:hint="eastAsia" w:ascii="Times New Roman" w:hAnsi="Times New Roman" w:cs="宋体"/>
          <w:color w:val="auto"/>
          <w:highlight w:val="none"/>
          <w:lang w:eastAsia="zh-CN"/>
        </w:rPr>
        <w:t>官方网站及省平台网站上，</w:t>
      </w:r>
      <w:r>
        <w:rPr>
          <w:rFonts w:hint="eastAsia" w:cs="宋体"/>
          <w:color w:val="auto"/>
          <w:highlight w:val="none"/>
          <w:lang w:eastAsia="zh-CN"/>
        </w:rPr>
        <w:t>对拟支持项目情况向社会公示。公示期间有异议的，省能源局及时核实处理。</w:t>
      </w:r>
      <w:r>
        <w:rPr>
          <w:rFonts w:hint="eastAsia" w:ascii="Times New Roman" w:hAnsi="Times New Roman" w:eastAsia="仿宋_GB2312" w:cs="仿宋_GB2312"/>
          <w:color w:val="auto"/>
          <w:kern w:val="2"/>
          <w:sz w:val="32"/>
          <w:szCs w:val="32"/>
          <w:highlight w:val="none"/>
          <w:lang w:val="en-US" w:eastAsia="zh-CN" w:bidi="ar"/>
        </w:rPr>
        <w:t>经公示无异议后，</w:t>
      </w:r>
      <w:r>
        <w:rPr>
          <w:rFonts w:hint="eastAsia" w:ascii="Times New Roman" w:hAnsi="Times New Roman" w:cs="仿宋_GB2312"/>
          <w:color w:val="auto"/>
          <w:kern w:val="2"/>
          <w:sz w:val="32"/>
          <w:szCs w:val="32"/>
          <w:highlight w:val="none"/>
          <w:lang w:val="en-US" w:eastAsia="zh-CN" w:bidi="ar"/>
        </w:rPr>
        <w:t>9月底前，省</w:t>
      </w:r>
      <w:r>
        <w:rPr>
          <w:rFonts w:hint="eastAsia" w:cs="仿宋_GB2312"/>
          <w:color w:val="auto"/>
          <w:kern w:val="2"/>
          <w:sz w:val="32"/>
          <w:szCs w:val="32"/>
          <w:highlight w:val="none"/>
          <w:lang w:val="en-US" w:eastAsia="zh-CN" w:bidi="ar"/>
        </w:rPr>
        <w:t>能源局</w:t>
      </w:r>
      <w:r>
        <w:rPr>
          <w:rFonts w:hint="eastAsia" w:ascii="Times New Roman" w:hAnsi="Times New Roman" w:eastAsia="仿宋_GB2312" w:cs="仿宋_GB2312"/>
          <w:b w:val="0"/>
          <w:bCs w:val="0"/>
          <w:color w:val="auto"/>
          <w:kern w:val="0"/>
          <w:sz w:val="32"/>
          <w:szCs w:val="32"/>
          <w:highlight w:val="none"/>
          <w:lang w:val="en-US" w:eastAsia="zh-CN" w:bidi="ar"/>
        </w:rPr>
        <w:t>在财政预算管理一体化系统中完成</w:t>
      </w:r>
      <w:r>
        <w:rPr>
          <w:rFonts w:hint="eastAsia" w:ascii="Times New Roman" w:hAnsi="Times New Roman" w:cs="仿宋_GB2312"/>
          <w:b w:val="0"/>
          <w:bCs w:val="0"/>
          <w:color w:val="auto"/>
          <w:kern w:val="0"/>
          <w:sz w:val="32"/>
          <w:szCs w:val="32"/>
          <w:highlight w:val="none"/>
          <w:lang w:val="en-US" w:eastAsia="zh-CN" w:bidi="ar"/>
        </w:rPr>
        <w:t>相关</w:t>
      </w:r>
      <w:r>
        <w:rPr>
          <w:rFonts w:hint="eastAsia" w:ascii="Times New Roman" w:hAnsi="Times New Roman" w:eastAsia="仿宋_GB2312" w:cs="仿宋_GB2312"/>
          <w:b w:val="0"/>
          <w:bCs w:val="0"/>
          <w:color w:val="auto"/>
          <w:kern w:val="0"/>
          <w:sz w:val="32"/>
          <w:szCs w:val="32"/>
          <w:highlight w:val="none"/>
          <w:lang w:val="en-US" w:eastAsia="zh-CN" w:bidi="ar"/>
        </w:rPr>
        <w:t>项目储备等工作，原则上</w:t>
      </w:r>
      <w:r>
        <w:rPr>
          <w:rFonts w:hint="eastAsia" w:ascii="Times New Roman" w:hAnsi="Times New Roman" w:cs="仿宋_GB2312"/>
          <w:b w:val="0"/>
          <w:bCs w:val="0"/>
          <w:color w:val="auto"/>
          <w:kern w:val="0"/>
          <w:sz w:val="32"/>
          <w:szCs w:val="32"/>
          <w:highlight w:val="none"/>
          <w:lang w:val="en-US" w:eastAsia="zh-CN" w:bidi="ar"/>
        </w:rPr>
        <w:t>未</w:t>
      </w:r>
      <w:r>
        <w:rPr>
          <w:rFonts w:hint="eastAsia" w:ascii="Times New Roman" w:hAnsi="Times New Roman" w:eastAsia="仿宋_GB2312" w:cs="仿宋_GB2312"/>
          <w:b w:val="0"/>
          <w:bCs w:val="0"/>
          <w:color w:val="auto"/>
          <w:kern w:val="0"/>
          <w:sz w:val="32"/>
          <w:szCs w:val="32"/>
          <w:highlight w:val="none"/>
          <w:lang w:val="en-US" w:eastAsia="zh-CN" w:bidi="ar"/>
        </w:rPr>
        <w:t>完成</w:t>
      </w:r>
      <w:r>
        <w:rPr>
          <w:rFonts w:hint="eastAsia" w:ascii="Times New Roman" w:hAnsi="Times New Roman" w:cs="仿宋_GB2312"/>
          <w:b w:val="0"/>
          <w:bCs w:val="0"/>
          <w:color w:val="auto"/>
          <w:kern w:val="0"/>
          <w:sz w:val="32"/>
          <w:szCs w:val="32"/>
          <w:highlight w:val="none"/>
          <w:lang w:val="en-US" w:eastAsia="zh-CN" w:bidi="ar"/>
        </w:rPr>
        <w:t>相关</w:t>
      </w:r>
      <w:r>
        <w:rPr>
          <w:rFonts w:hint="eastAsia" w:ascii="Times New Roman" w:hAnsi="Times New Roman" w:eastAsia="仿宋_GB2312" w:cs="仿宋_GB2312"/>
          <w:b w:val="0"/>
          <w:bCs w:val="0"/>
          <w:color w:val="auto"/>
          <w:kern w:val="0"/>
          <w:sz w:val="32"/>
          <w:szCs w:val="32"/>
          <w:highlight w:val="none"/>
          <w:lang w:val="en-US" w:eastAsia="zh-CN" w:bidi="ar"/>
        </w:rPr>
        <w:t>储备</w:t>
      </w:r>
      <w:r>
        <w:rPr>
          <w:rFonts w:hint="eastAsia" w:ascii="Times New Roman" w:hAnsi="Times New Roman" w:cs="仿宋_GB2312"/>
          <w:b w:val="0"/>
          <w:bCs w:val="0"/>
          <w:color w:val="auto"/>
          <w:kern w:val="0"/>
          <w:sz w:val="32"/>
          <w:szCs w:val="32"/>
          <w:highlight w:val="none"/>
          <w:lang w:val="en-US" w:eastAsia="zh-CN" w:bidi="ar"/>
        </w:rPr>
        <w:t>的</w:t>
      </w:r>
      <w:r>
        <w:rPr>
          <w:rFonts w:hint="eastAsia" w:ascii="Times New Roman" w:hAnsi="Times New Roman" w:eastAsia="仿宋_GB2312" w:cs="仿宋_GB2312"/>
          <w:b w:val="0"/>
          <w:bCs w:val="0"/>
          <w:color w:val="auto"/>
          <w:kern w:val="0"/>
          <w:sz w:val="32"/>
          <w:szCs w:val="32"/>
          <w:highlight w:val="none"/>
          <w:lang w:val="en-US" w:eastAsia="zh-CN" w:bidi="ar"/>
        </w:rPr>
        <w:t>项目不予支持。</w:t>
      </w:r>
    </w:p>
    <w:p w14:paraId="7BABFD79">
      <w:pPr>
        <w:ind w:left="0" w:right="0" w:firstLine="640"/>
        <w:rPr>
          <w:rFonts w:hint="eastAsia" w:ascii="Times New Roman" w:hAnsi="Times New Roman" w:eastAsia="仿宋_GB2312" w:cs="宋体"/>
          <w:color w:val="auto"/>
          <w:highlight w:val="none"/>
        </w:rPr>
      </w:pPr>
      <w:r>
        <w:rPr>
          <w:rFonts w:hint="eastAsia" w:cs="宋体"/>
          <w:b/>
          <w:color w:val="auto"/>
          <w:highlight w:val="none"/>
          <w:lang w:eastAsia="zh-CN"/>
        </w:rPr>
        <w:t>第十三条</w:t>
      </w:r>
      <w:r>
        <w:rPr>
          <w:rFonts w:hint="eastAsia" w:cs="宋体"/>
          <w:color w:val="auto"/>
          <w:highlight w:val="none"/>
          <w:lang w:val="en-US" w:eastAsia="zh-CN"/>
        </w:rPr>
        <w:t xml:space="preserve">  资金分配方案。</w:t>
      </w:r>
      <w:r>
        <w:rPr>
          <w:rFonts w:hint="eastAsia" w:ascii="Times New Roman" w:hAnsi="Times New Roman" w:eastAsia="仿宋_GB2312" w:cs="仿宋_GB2312"/>
          <w:color w:val="auto"/>
          <w:kern w:val="2"/>
          <w:sz w:val="32"/>
          <w:szCs w:val="32"/>
          <w:highlight w:val="none"/>
          <w:lang w:val="en-US" w:eastAsia="zh-CN" w:bidi="ar"/>
        </w:rPr>
        <w:t>专项资金年度预算额度确定后，省</w:t>
      </w:r>
      <w:r>
        <w:rPr>
          <w:rFonts w:hint="eastAsia" w:cs="仿宋_GB2312"/>
          <w:color w:val="auto"/>
          <w:kern w:val="2"/>
          <w:sz w:val="32"/>
          <w:szCs w:val="32"/>
          <w:highlight w:val="none"/>
          <w:lang w:val="en-US" w:eastAsia="zh-CN" w:bidi="ar"/>
        </w:rPr>
        <w:t>能源局</w:t>
      </w:r>
      <w:r>
        <w:rPr>
          <w:rFonts w:hint="eastAsia" w:ascii="Times New Roman" w:hAnsi="Times New Roman" w:eastAsia="仿宋_GB2312" w:cs="仿宋_GB2312"/>
          <w:color w:val="auto"/>
          <w:kern w:val="2"/>
          <w:sz w:val="32"/>
          <w:szCs w:val="32"/>
          <w:highlight w:val="none"/>
          <w:lang w:val="en-US" w:eastAsia="zh-CN" w:bidi="ar"/>
        </w:rPr>
        <w:t>按程序形成资金分配方案，联合省财政厅报分管省领导审批。</w:t>
      </w:r>
    </w:p>
    <w:p w14:paraId="3FA15B00">
      <w:pPr>
        <w:spacing w:line="560" w:lineRule="exact"/>
        <w:ind w:firstLine="643" w:firstLineChars="200"/>
        <w:jc w:val="left"/>
        <w:rPr>
          <w:rFonts w:hint="eastAsia" w:cs="Times New Roman"/>
          <w:b w:val="0"/>
          <w:bCs w:val="0"/>
          <w:color w:val="auto"/>
          <w:kern w:val="0"/>
          <w:sz w:val="32"/>
          <w:szCs w:val="32"/>
          <w:highlight w:val="none"/>
          <w:lang w:val="en-US" w:eastAsia="zh-CN"/>
        </w:rPr>
      </w:pPr>
      <w:r>
        <w:rPr>
          <w:rFonts w:hint="eastAsia" w:cs="宋体"/>
          <w:b/>
          <w:color w:val="auto"/>
          <w:highlight w:val="none"/>
          <w:lang w:eastAsia="zh-CN"/>
        </w:rPr>
        <w:t>第十四条</w:t>
      </w:r>
      <w:r>
        <w:rPr>
          <w:rFonts w:hint="eastAsia" w:cs="宋体"/>
          <w:b/>
          <w:color w:val="auto"/>
          <w:highlight w:val="none"/>
          <w:lang w:val="en-US" w:eastAsia="zh-CN"/>
        </w:rPr>
        <w:t xml:space="preserve"> </w:t>
      </w:r>
      <w:r>
        <w:rPr>
          <w:rFonts w:hint="eastAsia" w:cs="宋体"/>
          <w:color w:val="auto"/>
          <w:highlight w:val="none"/>
          <w:lang w:val="en-US" w:eastAsia="zh-CN"/>
        </w:rPr>
        <w:t xml:space="preserve"> 资金拨付。</w:t>
      </w:r>
      <w:r>
        <w:rPr>
          <w:rFonts w:hint="eastAsia" w:ascii="Times New Roman" w:hAnsi="Times New Roman" w:cs="Times New Roman"/>
          <w:color w:val="auto"/>
          <w:spacing w:val="-6"/>
          <w:kern w:val="2"/>
          <w:sz w:val="32"/>
          <w:highlight w:val="none"/>
          <w:lang w:val="en-US" w:eastAsia="zh-CN"/>
        </w:rPr>
        <w:t>11月底前，</w:t>
      </w:r>
      <w:r>
        <w:rPr>
          <w:rFonts w:hint="default" w:ascii="Times New Roman" w:hAnsi="Times New Roman" w:eastAsia="仿宋_GB2312" w:cs="Times New Roman"/>
          <w:color w:val="auto"/>
          <w:spacing w:val="-6"/>
          <w:kern w:val="2"/>
          <w:sz w:val="32"/>
          <w:highlight w:val="none"/>
          <w:lang w:val="en-US" w:eastAsia="zh-CN"/>
        </w:rPr>
        <w:t>根据批准的资金分配方案，省财政厅按规定完成专项资金提前下达工作。</w:t>
      </w:r>
      <w:r>
        <w:rPr>
          <w:rFonts w:hint="eastAsia" w:ascii="Times New Roman" w:hAnsi="Times New Roman" w:cs="Times New Roman"/>
          <w:color w:val="auto"/>
          <w:spacing w:val="-6"/>
          <w:kern w:val="2"/>
          <w:sz w:val="32"/>
          <w:highlight w:val="none"/>
          <w:lang w:val="en-US" w:eastAsia="zh-CN"/>
        </w:rPr>
        <w:t>经省级人民代表大会批准预算后，省财政厅按照规定程序完成正式下达工作。</w:t>
      </w:r>
    </w:p>
    <w:p w14:paraId="6177D907">
      <w:pPr>
        <w:ind w:firstLine="619" w:firstLineChars="200"/>
        <w:jc w:val="left"/>
        <w:rPr>
          <w:rFonts w:hint="eastAsia" w:ascii="Times New Roman" w:hAnsi="Times New Roman" w:eastAsia="仿宋_GB2312" w:cs="宋体"/>
          <w:color w:val="FF0000"/>
          <w:highlight w:val="none"/>
          <w:u w:val="none"/>
        </w:rPr>
      </w:pPr>
      <w:r>
        <w:rPr>
          <w:rFonts w:hint="eastAsia" w:ascii="Times New Roman" w:hAnsi="Times New Roman" w:cs="Times New Roman"/>
          <w:b/>
          <w:bCs/>
          <w:color w:val="auto"/>
          <w:spacing w:val="-6"/>
          <w:kern w:val="2"/>
          <w:sz w:val="32"/>
          <w:highlight w:val="none"/>
          <w:lang w:val="en-US" w:eastAsia="zh-CN"/>
        </w:rPr>
        <w:t>第十</w:t>
      </w:r>
      <w:r>
        <w:rPr>
          <w:rFonts w:hint="eastAsia" w:cs="Times New Roman"/>
          <w:b/>
          <w:bCs/>
          <w:color w:val="auto"/>
          <w:spacing w:val="-6"/>
          <w:kern w:val="2"/>
          <w:sz w:val="32"/>
          <w:highlight w:val="none"/>
          <w:lang w:val="en-US" w:eastAsia="zh-CN"/>
        </w:rPr>
        <w:t>五</w:t>
      </w:r>
      <w:r>
        <w:rPr>
          <w:rFonts w:hint="eastAsia" w:ascii="Times New Roman" w:hAnsi="Times New Roman" w:cs="Times New Roman"/>
          <w:b/>
          <w:bCs/>
          <w:color w:val="auto"/>
          <w:spacing w:val="-6"/>
          <w:kern w:val="2"/>
          <w:sz w:val="32"/>
          <w:highlight w:val="none"/>
          <w:lang w:val="en-US" w:eastAsia="zh-CN"/>
        </w:rPr>
        <w:t>条</w:t>
      </w:r>
      <w:r>
        <w:rPr>
          <w:rFonts w:hint="eastAsia" w:ascii="Times New Roman" w:hAnsi="Times New Roman" w:cs="Times New Roman"/>
          <w:b w:val="0"/>
          <w:bCs w:val="0"/>
          <w:color w:val="auto"/>
          <w:spacing w:val="-6"/>
          <w:kern w:val="2"/>
          <w:sz w:val="32"/>
          <w:highlight w:val="none"/>
          <w:lang w:val="en-US" w:eastAsia="zh-CN"/>
        </w:rPr>
        <w:t xml:space="preserve">  </w:t>
      </w:r>
      <w:r>
        <w:rPr>
          <w:rFonts w:hint="eastAsia" w:ascii="Times New Roman" w:hAnsi="Times New Roman" w:eastAsia="仿宋_GB2312" w:cs="Times New Roman"/>
          <w:b w:val="0"/>
          <w:bCs w:val="0"/>
          <w:color w:val="auto"/>
          <w:spacing w:val="-6"/>
          <w:kern w:val="2"/>
          <w:sz w:val="32"/>
          <w:highlight w:val="none"/>
          <w:lang w:val="en-US" w:eastAsia="zh-CN"/>
        </w:rPr>
        <w:t>避免重复申请。</w:t>
      </w:r>
      <w:r>
        <w:rPr>
          <w:rFonts w:hint="eastAsia" w:ascii="Times New Roman" w:hAnsi="Times New Roman" w:eastAsia="仿宋_GB2312" w:cs="仿宋_GB2312"/>
          <w:b w:val="0"/>
          <w:bCs w:val="0"/>
          <w:kern w:val="0"/>
          <w:sz w:val="32"/>
          <w:szCs w:val="32"/>
          <w:highlight w:val="none"/>
        </w:rPr>
        <w:t>同一项目申报多项资金，需在申报时说明已申请其他资金支持情况，并对所说明的情况的真实准确性负责。</w:t>
      </w:r>
      <w:r>
        <w:rPr>
          <w:rFonts w:hint="eastAsia" w:ascii="Times New Roman" w:hAnsi="Times New Roman" w:eastAsia="仿宋_GB2312" w:cs="宋体"/>
          <w:color w:val="auto"/>
          <w:highlight w:val="none"/>
          <w:u w:val="none"/>
        </w:rPr>
        <w:t>已获得</w:t>
      </w:r>
      <w:r>
        <w:rPr>
          <w:rFonts w:hint="eastAsia" w:cs="宋体"/>
          <w:color w:val="auto"/>
          <w:highlight w:val="none"/>
          <w:u w:val="none"/>
          <w:lang w:eastAsia="zh-CN"/>
        </w:rPr>
        <w:t>省级及以上</w:t>
      </w:r>
      <w:r>
        <w:rPr>
          <w:rFonts w:hint="eastAsia" w:ascii="Times New Roman" w:hAnsi="Times New Roman" w:eastAsia="仿宋_GB2312" w:cs="宋体"/>
          <w:color w:val="auto"/>
          <w:highlight w:val="none"/>
          <w:u w:val="none"/>
        </w:rPr>
        <w:t>财政补贴资金支持</w:t>
      </w:r>
      <w:r>
        <w:rPr>
          <w:rFonts w:hint="eastAsia" w:ascii="Times New Roman" w:hAnsi="Times New Roman" w:cs="宋体"/>
          <w:color w:val="auto"/>
          <w:highlight w:val="none"/>
          <w:u w:val="none"/>
          <w:lang w:eastAsia="zh-CN"/>
        </w:rPr>
        <w:t>项目</w:t>
      </w:r>
      <w:r>
        <w:rPr>
          <w:rFonts w:hint="eastAsia" w:ascii="Times New Roman" w:hAnsi="Times New Roman" w:eastAsia="仿宋_GB2312" w:cs="宋体"/>
          <w:color w:val="auto"/>
          <w:highlight w:val="none"/>
          <w:u w:val="none"/>
        </w:rPr>
        <w:t>，不</w:t>
      </w:r>
      <w:r>
        <w:rPr>
          <w:rFonts w:ascii="Times New Roman" w:hAnsi="Times New Roman" w:eastAsia="仿宋_GB2312" w:cs="宋体"/>
          <w:color w:val="auto"/>
          <w:highlight w:val="none"/>
          <w:u w:val="none"/>
        </w:rPr>
        <w:t>再给予</w:t>
      </w:r>
      <w:r>
        <w:rPr>
          <w:rFonts w:hint="eastAsia" w:cs="宋体"/>
          <w:color w:val="auto"/>
          <w:highlight w:val="none"/>
          <w:u w:val="none"/>
          <w:lang w:eastAsia="zh-CN"/>
        </w:rPr>
        <w:t>同类别</w:t>
      </w:r>
      <w:r>
        <w:rPr>
          <w:rFonts w:hint="eastAsia" w:ascii="Times New Roman" w:hAnsi="Times New Roman" w:eastAsia="仿宋_GB2312" w:cs="宋体"/>
          <w:color w:val="auto"/>
          <w:highlight w:val="none"/>
          <w:u w:val="none"/>
        </w:rPr>
        <w:t>补贴。</w:t>
      </w:r>
    </w:p>
    <w:p w14:paraId="260E1F76">
      <w:pPr>
        <w:jc w:val="center"/>
        <w:rPr>
          <w:rFonts w:hint="eastAsia" w:ascii="Times New Roman" w:hAnsi="Times New Roman" w:eastAsia="黑体" w:cs="黑体"/>
          <w:color w:val="auto"/>
          <w:highlight w:val="none"/>
        </w:rPr>
      </w:pPr>
    </w:p>
    <w:p w14:paraId="196F0F32">
      <w:pPr>
        <w:jc w:val="center"/>
        <w:rPr>
          <w:rFonts w:hint="eastAsia" w:ascii="Times New Roman" w:hAnsi="Times New Roman" w:eastAsia="黑体" w:cs="黑体"/>
          <w:color w:val="auto"/>
          <w:highlight w:val="none"/>
          <w:lang w:eastAsia="zh-CN"/>
        </w:rPr>
      </w:pPr>
      <w:r>
        <w:rPr>
          <w:rFonts w:hint="eastAsia" w:ascii="Times New Roman" w:hAnsi="Times New Roman" w:eastAsia="黑体" w:cs="黑体"/>
          <w:color w:val="auto"/>
          <w:highlight w:val="none"/>
        </w:rPr>
        <w:t>第</w:t>
      </w:r>
      <w:r>
        <w:rPr>
          <w:rFonts w:hint="eastAsia" w:eastAsia="黑体" w:cs="黑体"/>
          <w:color w:val="auto"/>
          <w:highlight w:val="none"/>
          <w:lang w:eastAsia="zh-CN"/>
        </w:rPr>
        <w:t>五</w:t>
      </w:r>
      <w:r>
        <w:rPr>
          <w:rFonts w:hint="eastAsia" w:ascii="Times New Roman" w:hAnsi="Times New Roman" w:eastAsia="黑体" w:cs="黑体"/>
          <w:color w:val="auto"/>
          <w:highlight w:val="none"/>
        </w:rPr>
        <w:t xml:space="preserve">章 </w:t>
      </w:r>
      <w:r>
        <w:rPr>
          <w:rFonts w:hint="eastAsia" w:eastAsia="黑体" w:cs="黑体"/>
          <w:color w:val="auto"/>
          <w:highlight w:val="none"/>
          <w:lang w:val="en-US" w:eastAsia="zh-CN"/>
        </w:rPr>
        <w:t xml:space="preserve"> 资金使用管理</w:t>
      </w:r>
    </w:p>
    <w:p w14:paraId="2054DAAA">
      <w:pPr>
        <w:ind w:left="0" w:right="0" w:firstLine="640"/>
        <w:rPr>
          <w:rFonts w:hint="eastAsia" w:ascii="Times New Roman" w:hAnsi="Times New Roman" w:eastAsia="仿宋_GB2312" w:cs="宋体"/>
          <w:color w:val="auto"/>
          <w:highlight w:val="none"/>
        </w:rPr>
      </w:pPr>
    </w:p>
    <w:p w14:paraId="337C81BB">
      <w:pPr>
        <w:ind w:left="0" w:right="0" w:firstLine="640"/>
        <w:rPr>
          <w:rFonts w:hint="eastAsia" w:cs="宋体"/>
          <w:color w:val="auto"/>
          <w:highlight w:val="none"/>
          <w:lang w:val="en-US" w:eastAsia="zh-CN"/>
        </w:rPr>
      </w:pPr>
      <w:r>
        <w:rPr>
          <w:rFonts w:hint="eastAsia" w:cs="宋体"/>
          <w:b/>
          <w:bCs/>
          <w:color w:val="auto"/>
          <w:highlight w:val="none"/>
          <w:lang w:val="en-US" w:eastAsia="zh-CN"/>
        </w:rPr>
        <w:t>第十六条</w:t>
      </w:r>
      <w:r>
        <w:rPr>
          <w:rFonts w:hint="eastAsia" w:cs="宋体"/>
          <w:color w:val="auto"/>
          <w:highlight w:val="none"/>
          <w:lang w:val="en-US" w:eastAsia="zh-CN"/>
        </w:rPr>
        <w:t xml:space="preserve">  </w:t>
      </w:r>
      <w:r>
        <w:rPr>
          <w:rFonts w:hint="eastAsia" w:ascii="Times New Roman" w:hAnsi="Times New Roman" w:cs="Times New Roman"/>
          <w:b w:val="0"/>
          <w:bCs w:val="0"/>
          <w:color w:val="auto"/>
          <w:spacing w:val="-6"/>
          <w:kern w:val="2"/>
          <w:sz w:val="32"/>
          <w:highlight w:val="none"/>
          <w:lang w:val="en-US" w:eastAsia="zh-CN"/>
        </w:rPr>
        <w:t>按进度拨款。</w:t>
      </w:r>
      <w:r>
        <w:rPr>
          <w:rFonts w:hint="eastAsia" w:ascii="Times New Roman" w:hAnsi="Times New Roman" w:eastAsia="仿宋_GB2312" w:cs="仿宋_GB2312"/>
          <w:color w:val="auto"/>
          <w:kern w:val="2"/>
          <w:sz w:val="32"/>
          <w:szCs w:val="32"/>
          <w:highlight w:val="none"/>
          <w:lang w:val="en-US" w:eastAsia="zh-CN" w:bidi="ar"/>
        </w:rPr>
        <w:t>按照</w:t>
      </w:r>
      <w:r>
        <w:rPr>
          <w:rFonts w:hint="eastAsia" w:ascii="Times New Roman" w:hAnsi="Times New Roman" w:eastAsia="宋体" w:cs="宋体"/>
          <w:color w:val="auto"/>
          <w:kern w:val="2"/>
          <w:sz w:val="32"/>
          <w:szCs w:val="32"/>
          <w:highlight w:val="none"/>
          <w:lang w:val="en-US" w:eastAsia="zh-CN" w:bidi="ar"/>
        </w:rPr>
        <w:t>“</w:t>
      </w:r>
      <w:r>
        <w:rPr>
          <w:rFonts w:hint="eastAsia" w:ascii="Times New Roman" w:hAnsi="Times New Roman" w:eastAsia="仿宋_GB2312" w:cs="仿宋_GB2312"/>
          <w:color w:val="auto"/>
          <w:kern w:val="2"/>
          <w:sz w:val="32"/>
          <w:szCs w:val="32"/>
          <w:highlight w:val="none"/>
          <w:lang w:val="en-US" w:eastAsia="zh-CN" w:bidi="ar"/>
        </w:rPr>
        <w:t>指标跟着项目走、资金跟着进度走</w:t>
      </w:r>
      <w:r>
        <w:rPr>
          <w:rFonts w:hint="eastAsia" w:ascii="Times New Roman" w:hAnsi="Times New Roman" w:eastAsia="宋体" w:cs="宋体"/>
          <w:color w:val="auto"/>
          <w:kern w:val="2"/>
          <w:sz w:val="32"/>
          <w:szCs w:val="32"/>
          <w:highlight w:val="none"/>
          <w:lang w:val="en-US" w:eastAsia="zh-CN" w:bidi="ar"/>
        </w:rPr>
        <w:t>”</w:t>
      </w:r>
      <w:r>
        <w:rPr>
          <w:rFonts w:hint="eastAsia" w:ascii="Times New Roman" w:hAnsi="Times New Roman" w:eastAsia="仿宋_GB2312" w:cs="仿宋_GB2312"/>
          <w:color w:val="auto"/>
          <w:kern w:val="2"/>
          <w:sz w:val="32"/>
          <w:szCs w:val="32"/>
          <w:highlight w:val="none"/>
          <w:lang w:val="en-US" w:eastAsia="zh-CN" w:bidi="ar"/>
        </w:rPr>
        <w:t>原则，根据项目实施进度及中央转移支付资金到位等情况核拨资金。省</w:t>
      </w:r>
      <w:r>
        <w:rPr>
          <w:rFonts w:hint="eastAsia" w:cs="仿宋_GB2312"/>
          <w:color w:val="auto"/>
          <w:kern w:val="2"/>
          <w:sz w:val="32"/>
          <w:szCs w:val="32"/>
          <w:highlight w:val="none"/>
          <w:lang w:val="en-US" w:eastAsia="zh-CN" w:bidi="ar"/>
        </w:rPr>
        <w:t>能源局</w:t>
      </w:r>
      <w:r>
        <w:rPr>
          <w:rFonts w:hint="eastAsia" w:ascii="Times New Roman" w:hAnsi="Times New Roman" w:eastAsia="仿宋_GB2312" w:cs="仿宋_GB2312"/>
          <w:color w:val="auto"/>
          <w:kern w:val="2"/>
          <w:sz w:val="32"/>
          <w:szCs w:val="32"/>
          <w:highlight w:val="none"/>
          <w:lang w:val="en-US" w:eastAsia="zh-CN" w:bidi="ar"/>
        </w:rPr>
        <w:t>是审核拨款的责任主体</w:t>
      </w:r>
      <w:r>
        <w:rPr>
          <w:rFonts w:hint="eastAsia" w:ascii="Times New Roman" w:hAnsi="Times New Roman" w:cs="仿宋_GB2312"/>
          <w:color w:val="auto"/>
          <w:kern w:val="2"/>
          <w:sz w:val="32"/>
          <w:szCs w:val="32"/>
          <w:highlight w:val="none"/>
          <w:lang w:val="en-US" w:eastAsia="zh-CN" w:bidi="ar"/>
        </w:rPr>
        <w:t>，并建立按进度拨款机制</w:t>
      </w:r>
      <w:r>
        <w:rPr>
          <w:rFonts w:hint="eastAsia" w:ascii="Times New Roman" w:hAnsi="Times New Roman" w:eastAsia="仿宋_GB2312" w:cs="仿宋_GB2312"/>
          <w:color w:val="auto"/>
          <w:kern w:val="2"/>
          <w:sz w:val="32"/>
          <w:szCs w:val="32"/>
          <w:highlight w:val="none"/>
          <w:lang w:val="en-US" w:eastAsia="zh-CN" w:bidi="ar"/>
        </w:rPr>
        <w:t>。</w:t>
      </w:r>
    </w:p>
    <w:p w14:paraId="7474ECA3">
      <w:pPr>
        <w:spacing w:line="560" w:lineRule="exact"/>
        <w:ind w:left="0" w:right="0" w:firstLine="643" w:firstLineChars="200"/>
        <w:rPr>
          <w:rFonts w:hint="eastAsia" w:cs="宋体"/>
          <w:color w:val="auto"/>
          <w:highlight w:val="none"/>
          <w:lang w:val="en-US" w:eastAsia="zh-CN"/>
        </w:rPr>
      </w:pPr>
      <w:r>
        <w:rPr>
          <w:rFonts w:hint="eastAsia" w:cs="宋体"/>
          <w:b/>
          <w:bCs/>
          <w:color w:val="auto"/>
          <w:highlight w:val="none"/>
          <w:lang w:val="en-US" w:eastAsia="zh-CN"/>
        </w:rPr>
        <w:t>第十七条</w:t>
      </w:r>
      <w:r>
        <w:rPr>
          <w:rFonts w:hint="eastAsia" w:cs="宋体"/>
          <w:color w:val="auto"/>
          <w:highlight w:val="none"/>
          <w:lang w:val="en-US" w:eastAsia="zh-CN"/>
        </w:rPr>
        <w:t xml:space="preserve">  市（州）申请。</w:t>
      </w:r>
      <w:r>
        <w:rPr>
          <w:rFonts w:hint="eastAsia" w:ascii="Times New Roman" w:hAnsi="Times New Roman" w:cs="仿宋_GB2312"/>
          <w:color w:val="auto"/>
          <w:spacing w:val="0"/>
          <w:kern w:val="2"/>
          <w:sz w:val="32"/>
          <w:szCs w:val="32"/>
          <w:highlight w:val="none"/>
          <w:lang w:val="en-US" w:eastAsia="zh-CN" w:bidi="ar"/>
        </w:rPr>
        <w:t>根据项目预算、实施进度及企业申请，</w:t>
      </w:r>
      <w:r>
        <w:rPr>
          <w:rFonts w:hint="eastAsia" w:ascii="Times New Roman" w:hAnsi="Times New Roman" w:eastAsia="仿宋_GB2312" w:cs="仿宋_GB2312"/>
          <w:b w:val="0"/>
          <w:bCs w:val="0"/>
          <w:color w:val="auto"/>
          <w:kern w:val="0"/>
          <w:sz w:val="32"/>
          <w:szCs w:val="32"/>
          <w:highlight w:val="none"/>
          <w:lang w:val="en-US" w:eastAsia="zh-CN"/>
        </w:rPr>
        <w:t>市</w:t>
      </w:r>
      <w:r>
        <w:rPr>
          <w:rFonts w:hint="eastAsia" w:ascii="Times New Roman" w:hAnsi="Times New Roman" w:eastAsia="仿宋_GB2312" w:cs="宋体"/>
          <w:color w:val="auto"/>
          <w:kern w:val="2"/>
          <w:sz w:val="32"/>
          <w:szCs w:val="24"/>
          <w:highlight w:val="none"/>
          <w:lang w:val="en-US" w:eastAsia="zh-CN" w:bidi="ar-SA"/>
        </w:rPr>
        <w:t>（州）发改（能源）</w:t>
      </w:r>
      <w:r>
        <w:rPr>
          <w:rFonts w:hint="eastAsia" w:ascii="Times New Roman" w:hAnsi="Times New Roman" w:cs="仿宋_GB2312"/>
          <w:color w:val="auto"/>
          <w:spacing w:val="0"/>
          <w:kern w:val="2"/>
          <w:sz w:val="32"/>
          <w:szCs w:val="32"/>
          <w:highlight w:val="none"/>
          <w:lang w:val="en-US" w:eastAsia="zh-CN" w:bidi="ar"/>
        </w:rPr>
        <w:t>会同财政部门向省</w:t>
      </w:r>
      <w:r>
        <w:rPr>
          <w:rFonts w:hint="eastAsia" w:cs="仿宋_GB2312"/>
          <w:color w:val="auto"/>
          <w:spacing w:val="0"/>
          <w:kern w:val="2"/>
          <w:sz w:val="32"/>
          <w:szCs w:val="32"/>
          <w:highlight w:val="none"/>
          <w:lang w:val="en-US" w:eastAsia="zh-CN" w:bidi="ar"/>
        </w:rPr>
        <w:t>能源局</w:t>
      </w:r>
      <w:r>
        <w:rPr>
          <w:rFonts w:hint="eastAsia" w:ascii="Times New Roman" w:hAnsi="Times New Roman" w:cs="仿宋_GB2312"/>
          <w:color w:val="auto"/>
          <w:spacing w:val="0"/>
          <w:kern w:val="2"/>
          <w:sz w:val="32"/>
          <w:szCs w:val="32"/>
          <w:highlight w:val="none"/>
          <w:lang w:val="en-US" w:eastAsia="zh-CN" w:bidi="ar"/>
        </w:rPr>
        <w:t>提出调拨申请。</w:t>
      </w:r>
    </w:p>
    <w:p w14:paraId="42F42AAA">
      <w:pPr>
        <w:ind w:left="0" w:right="0" w:firstLine="640"/>
        <w:rPr>
          <w:rFonts w:hint="default" w:cs="宋体"/>
          <w:color w:val="auto"/>
          <w:highlight w:val="none"/>
          <w:lang w:val="en-US" w:eastAsia="zh-CN"/>
        </w:rPr>
      </w:pPr>
      <w:r>
        <w:rPr>
          <w:rFonts w:hint="eastAsia" w:cs="宋体"/>
          <w:b/>
          <w:bCs/>
          <w:color w:val="auto"/>
          <w:highlight w:val="none"/>
          <w:lang w:val="en-US" w:eastAsia="zh-CN"/>
        </w:rPr>
        <w:t>第十八条</w:t>
      </w:r>
      <w:r>
        <w:rPr>
          <w:rFonts w:hint="eastAsia" w:cs="宋体"/>
          <w:color w:val="auto"/>
          <w:highlight w:val="none"/>
          <w:lang w:val="en-US" w:eastAsia="zh-CN"/>
        </w:rPr>
        <w:t xml:space="preserve">  </w:t>
      </w:r>
      <w:r>
        <w:rPr>
          <w:rFonts w:hint="eastAsia" w:ascii="Times New Roman" w:hAnsi="Times New Roman" w:cs="仿宋_GB2312"/>
          <w:color w:val="auto"/>
          <w:spacing w:val="0"/>
          <w:kern w:val="2"/>
          <w:sz w:val="32"/>
          <w:szCs w:val="32"/>
          <w:highlight w:val="none"/>
          <w:lang w:val="en-US" w:eastAsia="zh-CN" w:bidi="ar"/>
        </w:rPr>
        <w:t>省</w:t>
      </w:r>
      <w:r>
        <w:rPr>
          <w:rFonts w:hint="eastAsia" w:cs="仿宋_GB2312"/>
          <w:color w:val="auto"/>
          <w:spacing w:val="0"/>
          <w:kern w:val="2"/>
          <w:sz w:val="32"/>
          <w:szCs w:val="32"/>
          <w:highlight w:val="none"/>
          <w:lang w:val="en-US" w:eastAsia="zh-CN" w:bidi="ar"/>
        </w:rPr>
        <w:t>能源局</w:t>
      </w:r>
      <w:r>
        <w:rPr>
          <w:rFonts w:hint="eastAsia" w:ascii="Times New Roman" w:hAnsi="Times New Roman" w:cs="仿宋_GB2312"/>
          <w:color w:val="auto"/>
          <w:spacing w:val="0"/>
          <w:kern w:val="2"/>
          <w:sz w:val="32"/>
          <w:szCs w:val="32"/>
          <w:highlight w:val="none"/>
          <w:lang w:val="en-US" w:eastAsia="zh-CN" w:bidi="ar"/>
        </w:rPr>
        <w:t>审核并申请。省</w:t>
      </w:r>
      <w:r>
        <w:rPr>
          <w:rFonts w:hint="eastAsia" w:cs="仿宋_GB2312"/>
          <w:color w:val="auto"/>
          <w:spacing w:val="0"/>
          <w:kern w:val="2"/>
          <w:sz w:val="32"/>
          <w:szCs w:val="32"/>
          <w:highlight w:val="none"/>
          <w:lang w:val="en-US" w:eastAsia="zh-CN" w:bidi="ar"/>
        </w:rPr>
        <w:t>能源局</w:t>
      </w:r>
      <w:r>
        <w:rPr>
          <w:rFonts w:hint="eastAsia" w:ascii="Times New Roman" w:hAnsi="Times New Roman" w:cs="仿宋_GB2312"/>
          <w:color w:val="auto"/>
          <w:spacing w:val="0"/>
          <w:kern w:val="2"/>
          <w:sz w:val="32"/>
          <w:szCs w:val="32"/>
          <w:highlight w:val="none"/>
          <w:lang w:val="en-US" w:eastAsia="zh-CN" w:bidi="ar"/>
        </w:rPr>
        <w:t>负责对</w:t>
      </w:r>
      <w:r>
        <w:rPr>
          <w:rFonts w:hint="eastAsia" w:ascii="Times New Roman" w:hAnsi="Times New Roman" w:eastAsia="仿宋_GB2312" w:cs="仿宋_GB2312"/>
          <w:b w:val="0"/>
          <w:bCs w:val="0"/>
          <w:color w:val="auto"/>
          <w:kern w:val="0"/>
          <w:sz w:val="32"/>
          <w:szCs w:val="32"/>
          <w:highlight w:val="none"/>
          <w:lang w:val="en-US" w:eastAsia="zh-CN"/>
        </w:rPr>
        <w:t>市</w:t>
      </w:r>
      <w:r>
        <w:rPr>
          <w:rFonts w:hint="eastAsia" w:ascii="Times New Roman" w:hAnsi="Times New Roman" w:eastAsia="仿宋_GB2312" w:cs="宋体"/>
          <w:color w:val="auto"/>
          <w:kern w:val="2"/>
          <w:sz w:val="32"/>
          <w:szCs w:val="24"/>
          <w:highlight w:val="none"/>
          <w:lang w:val="en-US" w:eastAsia="zh-CN" w:bidi="ar-SA"/>
        </w:rPr>
        <w:t>（州）</w:t>
      </w:r>
      <w:r>
        <w:rPr>
          <w:rFonts w:hint="eastAsia" w:ascii="Times New Roman" w:hAnsi="Times New Roman" w:cs="仿宋_GB2312"/>
          <w:color w:val="auto"/>
          <w:spacing w:val="0"/>
          <w:kern w:val="2"/>
          <w:sz w:val="32"/>
          <w:szCs w:val="32"/>
          <w:highlight w:val="none"/>
          <w:lang w:val="en-US" w:eastAsia="zh-CN" w:bidi="ar"/>
        </w:rPr>
        <w:t>提报的申请进行审核，具备拨付条件的，向省财政厅发起调拨申请。</w:t>
      </w:r>
    </w:p>
    <w:p w14:paraId="0D654FB4">
      <w:pPr>
        <w:ind w:left="0" w:right="0" w:firstLine="640"/>
        <w:rPr>
          <w:rFonts w:hint="default" w:cs="宋体"/>
          <w:color w:val="auto"/>
          <w:highlight w:val="none"/>
          <w:lang w:val="en-US" w:eastAsia="zh-CN"/>
        </w:rPr>
      </w:pPr>
      <w:r>
        <w:rPr>
          <w:rFonts w:hint="eastAsia" w:cs="宋体"/>
          <w:b/>
          <w:bCs/>
          <w:color w:val="auto"/>
          <w:highlight w:val="none"/>
          <w:lang w:val="en-US" w:eastAsia="zh-CN"/>
        </w:rPr>
        <w:t>第十九条</w:t>
      </w:r>
      <w:r>
        <w:rPr>
          <w:rFonts w:hint="eastAsia" w:cs="宋体"/>
          <w:color w:val="auto"/>
          <w:highlight w:val="none"/>
          <w:lang w:val="en-US" w:eastAsia="zh-CN"/>
        </w:rPr>
        <w:t xml:space="preserve">  </w:t>
      </w:r>
      <w:r>
        <w:rPr>
          <w:rFonts w:hint="eastAsia" w:ascii="Times New Roman" w:hAnsi="Times New Roman" w:cs="仿宋_GB2312"/>
          <w:color w:val="auto"/>
          <w:spacing w:val="0"/>
          <w:kern w:val="2"/>
          <w:sz w:val="32"/>
          <w:szCs w:val="32"/>
          <w:highlight w:val="none"/>
          <w:lang w:val="en-US" w:eastAsia="zh-CN" w:bidi="ar"/>
        </w:rPr>
        <w:t>省财政厅审核并调拨。</w:t>
      </w:r>
      <w:r>
        <w:rPr>
          <w:rFonts w:hint="eastAsia" w:ascii="Times New Roman" w:hAnsi="Times New Roman" w:cs="仿宋_GB2312"/>
          <w:spacing w:val="0"/>
          <w:sz w:val="32"/>
          <w:szCs w:val="32"/>
          <w:highlight w:val="none"/>
          <w:lang w:bidi="ar"/>
        </w:rPr>
        <w:t>依据指标文件等审核</w:t>
      </w:r>
      <w:r>
        <w:rPr>
          <w:rFonts w:hint="eastAsia" w:ascii="Times New Roman" w:hAnsi="Times New Roman" w:cs="仿宋_GB2312"/>
          <w:spacing w:val="0"/>
          <w:sz w:val="32"/>
          <w:szCs w:val="32"/>
          <w:highlight w:val="none"/>
          <w:lang w:eastAsia="zh-CN" w:bidi="ar"/>
        </w:rPr>
        <w:t>省</w:t>
      </w:r>
      <w:r>
        <w:rPr>
          <w:rFonts w:hint="eastAsia" w:cs="仿宋_GB2312"/>
          <w:color w:val="auto"/>
          <w:spacing w:val="0"/>
          <w:kern w:val="2"/>
          <w:sz w:val="32"/>
          <w:szCs w:val="32"/>
          <w:highlight w:val="none"/>
          <w:lang w:val="en-US" w:eastAsia="zh-CN" w:bidi="ar"/>
        </w:rPr>
        <w:t>能源局</w:t>
      </w:r>
      <w:r>
        <w:rPr>
          <w:rFonts w:hint="eastAsia" w:ascii="Times New Roman" w:hAnsi="Times New Roman" w:cs="仿宋_GB2312"/>
          <w:spacing w:val="0"/>
          <w:sz w:val="32"/>
          <w:szCs w:val="32"/>
          <w:highlight w:val="none"/>
          <w:lang w:bidi="ar"/>
        </w:rPr>
        <w:t>提报的调拨申请，审核通过后</w:t>
      </w:r>
      <w:r>
        <w:rPr>
          <w:rFonts w:hint="eastAsia" w:ascii="Times New Roman" w:hAnsi="Times New Roman" w:cs="仿宋_GB2312"/>
          <w:spacing w:val="0"/>
          <w:sz w:val="32"/>
          <w:szCs w:val="32"/>
          <w:highlight w:val="none"/>
          <w:lang w:eastAsia="zh-CN" w:bidi="ar"/>
        </w:rPr>
        <w:t>，</w:t>
      </w:r>
      <w:r>
        <w:rPr>
          <w:rFonts w:hint="eastAsia" w:cs="仿宋_GB2312"/>
          <w:spacing w:val="0"/>
          <w:sz w:val="32"/>
          <w:szCs w:val="32"/>
          <w:highlight w:val="none"/>
          <w:lang w:eastAsia="zh-CN" w:bidi="ar"/>
        </w:rPr>
        <w:t>结合中央转移支付资金到位等情况，</w:t>
      </w:r>
      <w:r>
        <w:rPr>
          <w:rFonts w:hint="eastAsia" w:ascii="Times New Roman" w:hAnsi="Times New Roman" w:cs="仿宋_GB2312"/>
          <w:spacing w:val="0"/>
          <w:sz w:val="32"/>
          <w:szCs w:val="32"/>
          <w:highlight w:val="none"/>
          <w:lang w:bidi="ar"/>
        </w:rPr>
        <w:t>将资金调拨至</w:t>
      </w:r>
      <w:r>
        <w:rPr>
          <w:rFonts w:hint="eastAsia" w:ascii="Times New Roman" w:hAnsi="Times New Roman" w:cs="仿宋_GB2312"/>
          <w:spacing w:val="0"/>
          <w:sz w:val="32"/>
          <w:szCs w:val="32"/>
          <w:highlight w:val="none"/>
          <w:lang w:eastAsia="zh-CN" w:bidi="ar"/>
        </w:rPr>
        <w:t>各地</w:t>
      </w:r>
      <w:r>
        <w:rPr>
          <w:rFonts w:hint="eastAsia" w:ascii="Times New Roman" w:hAnsi="Times New Roman" w:cs="仿宋_GB2312"/>
          <w:spacing w:val="0"/>
          <w:sz w:val="32"/>
          <w:szCs w:val="32"/>
          <w:highlight w:val="none"/>
          <w:lang w:bidi="ar"/>
        </w:rPr>
        <w:t>财政部门。</w:t>
      </w:r>
    </w:p>
    <w:p w14:paraId="6B4F5D90">
      <w:pPr>
        <w:spacing w:line="560" w:lineRule="exact"/>
        <w:ind w:firstLine="643" w:firstLineChars="200"/>
        <w:rPr>
          <w:rFonts w:hint="eastAsia" w:cs="宋体"/>
          <w:color w:val="auto"/>
          <w:highlight w:val="none"/>
          <w:lang w:val="en-US" w:eastAsia="zh-CN"/>
        </w:rPr>
      </w:pPr>
      <w:r>
        <w:rPr>
          <w:rFonts w:hint="eastAsia" w:cs="宋体"/>
          <w:b/>
          <w:bCs/>
          <w:color w:val="auto"/>
          <w:highlight w:val="none"/>
          <w:lang w:val="en-US" w:eastAsia="zh-CN"/>
        </w:rPr>
        <w:t>第二十条</w:t>
      </w:r>
      <w:r>
        <w:rPr>
          <w:rFonts w:hint="eastAsia" w:cs="宋体"/>
          <w:color w:val="auto"/>
          <w:highlight w:val="none"/>
          <w:lang w:val="en-US" w:eastAsia="zh-CN"/>
        </w:rPr>
        <w:t xml:space="preserve">  市县调拨。</w:t>
      </w:r>
      <w:r>
        <w:rPr>
          <w:rFonts w:hint="eastAsia" w:ascii="Times New Roman" w:hAnsi="Times New Roman" w:cs="仿宋_GB2312"/>
          <w:color w:val="auto"/>
          <w:szCs w:val="32"/>
          <w:highlight w:val="none"/>
          <w:lang w:bidi="ar"/>
        </w:rPr>
        <w:t>收到省财政调拨资金后，</w:t>
      </w:r>
      <w:r>
        <w:rPr>
          <w:rFonts w:hint="eastAsia" w:ascii="Times New Roman" w:hAnsi="Times New Roman" w:eastAsia="仿宋_GB2312" w:cs="仿宋_GB2312"/>
          <w:color w:val="auto"/>
          <w:spacing w:val="0"/>
          <w:sz w:val="32"/>
          <w:szCs w:val="32"/>
          <w:highlight w:val="none"/>
          <w:lang w:bidi="ar"/>
        </w:rPr>
        <w:t>市县财政部门</w:t>
      </w:r>
      <w:r>
        <w:rPr>
          <w:rFonts w:hint="eastAsia" w:ascii="Times New Roman" w:hAnsi="Times New Roman" w:cs="仿宋_GB2312"/>
          <w:color w:val="auto"/>
          <w:spacing w:val="0"/>
          <w:sz w:val="32"/>
          <w:szCs w:val="32"/>
          <w:highlight w:val="none"/>
          <w:lang w:bidi="ar"/>
        </w:rPr>
        <w:t>及时规范办理资金</w:t>
      </w:r>
      <w:r>
        <w:rPr>
          <w:rFonts w:hint="eastAsia" w:ascii="Times New Roman" w:hAnsi="Times New Roman" w:cs="仿宋_GB2312"/>
          <w:color w:val="auto"/>
          <w:spacing w:val="0"/>
          <w:sz w:val="32"/>
          <w:szCs w:val="32"/>
          <w:highlight w:val="none"/>
          <w:lang w:eastAsia="zh-CN" w:bidi="ar"/>
        </w:rPr>
        <w:t>拨</w:t>
      </w:r>
      <w:r>
        <w:rPr>
          <w:rFonts w:hint="eastAsia" w:ascii="Times New Roman" w:hAnsi="Times New Roman" w:cs="仿宋_GB2312"/>
          <w:color w:val="auto"/>
          <w:spacing w:val="0"/>
          <w:sz w:val="32"/>
          <w:szCs w:val="32"/>
          <w:highlight w:val="none"/>
          <w:lang w:bidi="ar"/>
        </w:rPr>
        <w:t>付，或转拨至下级财政部门</w:t>
      </w:r>
      <w:r>
        <w:rPr>
          <w:rFonts w:hint="eastAsia" w:ascii="Times New Roman" w:hAnsi="Times New Roman" w:cs="仿宋_GB2312"/>
          <w:color w:val="auto"/>
          <w:spacing w:val="0"/>
          <w:sz w:val="32"/>
          <w:szCs w:val="32"/>
          <w:highlight w:val="none"/>
          <w:lang w:eastAsia="zh-CN" w:bidi="ar"/>
        </w:rPr>
        <w:t>。</w:t>
      </w:r>
    </w:p>
    <w:p w14:paraId="08AE642C">
      <w:pPr>
        <w:spacing w:line="560" w:lineRule="exact"/>
        <w:ind w:left="0" w:right="0" w:firstLine="619" w:firstLineChars="200"/>
        <w:rPr>
          <w:rFonts w:hint="default" w:cs="宋体"/>
          <w:color w:val="auto"/>
          <w:highlight w:val="none"/>
          <w:lang w:val="en-US" w:eastAsia="zh-CN"/>
        </w:rPr>
      </w:pPr>
      <w:r>
        <w:rPr>
          <w:rFonts w:hint="default" w:ascii="Times New Roman" w:hAnsi="Times New Roman" w:cs="Times New Roman"/>
          <w:b/>
          <w:bCs/>
          <w:color w:val="auto"/>
          <w:spacing w:val="-6"/>
          <w:kern w:val="2"/>
          <w:sz w:val="32"/>
          <w:szCs w:val="24"/>
          <w:highlight w:val="none"/>
          <w:lang w:val="en-US" w:eastAsia="zh-CN" w:bidi="ar"/>
        </w:rPr>
        <w:t>第</w:t>
      </w:r>
      <w:r>
        <w:rPr>
          <w:rFonts w:hint="eastAsia" w:cs="Times New Roman"/>
          <w:b/>
          <w:bCs/>
          <w:color w:val="auto"/>
          <w:spacing w:val="-6"/>
          <w:kern w:val="2"/>
          <w:sz w:val="32"/>
          <w:szCs w:val="24"/>
          <w:highlight w:val="none"/>
          <w:lang w:val="en-US" w:eastAsia="zh-CN" w:bidi="ar"/>
        </w:rPr>
        <w:t>二十一</w:t>
      </w:r>
      <w:r>
        <w:rPr>
          <w:rFonts w:hint="default" w:ascii="Times New Roman" w:hAnsi="Times New Roman" w:cs="Times New Roman"/>
          <w:b/>
          <w:bCs/>
          <w:color w:val="auto"/>
          <w:spacing w:val="-6"/>
          <w:kern w:val="2"/>
          <w:sz w:val="32"/>
          <w:szCs w:val="24"/>
          <w:highlight w:val="none"/>
          <w:lang w:val="en-US" w:eastAsia="zh-CN" w:bidi="ar"/>
        </w:rPr>
        <w:t xml:space="preserve">条 </w:t>
      </w:r>
      <w:r>
        <w:rPr>
          <w:rFonts w:hint="eastAsia" w:ascii="Times New Roman" w:hAnsi="Times New Roman" w:cs="仿宋_GB2312"/>
          <w:color w:val="auto"/>
          <w:spacing w:val="0"/>
          <w:kern w:val="2"/>
          <w:sz w:val="32"/>
          <w:szCs w:val="32"/>
          <w:highlight w:val="none"/>
          <w:lang w:val="en-US" w:eastAsia="zh-CN" w:bidi="ar"/>
        </w:rPr>
        <w:t xml:space="preserve"> 定期调度。</w:t>
      </w:r>
      <w:r>
        <w:rPr>
          <w:rFonts w:hint="eastAsia" w:ascii="Times New Roman" w:hAnsi="Times New Roman" w:eastAsia="仿宋_GB2312" w:cs="仿宋_GB2312"/>
          <w:color w:val="auto"/>
          <w:kern w:val="2"/>
          <w:sz w:val="32"/>
          <w:szCs w:val="32"/>
          <w:highlight w:val="none"/>
          <w:lang w:val="en-US" w:eastAsia="zh-CN" w:bidi="ar"/>
        </w:rPr>
        <w:t>省</w:t>
      </w:r>
      <w:r>
        <w:rPr>
          <w:rFonts w:hint="eastAsia" w:cs="仿宋_GB2312"/>
          <w:color w:val="auto"/>
          <w:kern w:val="2"/>
          <w:sz w:val="32"/>
          <w:szCs w:val="32"/>
          <w:highlight w:val="none"/>
          <w:lang w:val="en-US" w:eastAsia="zh-CN" w:bidi="ar"/>
        </w:rPr>
        <w:t>能源局</w:t>
      </w:r>
      <w:r>
        <w:rPr>
          <w:rFonts w:hint="eastAsia" w:ascii="Times New Roman" w:hAnsi="Times New Roman" w:eastAsia="仿宋_GB2312" w:cs="仿宋_GB2312"/>
          <w:color w:val="auto"/>
          <w:kern w:val="2"/>
          <w:sz w:val="32"/>
          <w:szCs w:val="32"/>
          <w:highlight w:val="none"/>
          <w:lang w:val="en-US" w:eastAsia="zh-CN" w:bidi="ar"/>
        </w:rPr>
        <w:t>建立定期调度通报预算执行进度机制，定期向分管省领导报送预算执行情况</w:t>
      </w:r>
      <w:r>
        <w:rPr>
          <w:rFonts w:hint="eastAsia" w:ascii="Times New Roman" w:hAnsi="Times New Roman" w:cs="仿宋_GB2312"/>
          <w:color w:val="auto"/>
          <w:kern w:val="2"/>
          <w:sz w:val="32"/>
          <w:szCs w:val="32"/>
          <w:highlight w:val="none"/>
          <w:lang w:val="en-US" w:eastAsia="zh-CN" w:bidi="ar"/>
        </w:rPr>
        <w:t>。</w:t>
      </w:r>
      <w:r>
        <w:rPr>
          <w:rFonts w:hint="eastAsia" w:ascii="Times New Roman" w:hAnsi="Times New Roman" w:eastAsia="仿宋_GB2312" w:cs="仿宋_GB2312"/>
          <w:color w:val="auto"/>
          <w:spacing w:val="0"/>
          <w:sz w:val="32"/>
          <w:szCs w:val="32"/>
          <w:highlight w:val="none"/>
          <w:lang w:bidi="ar"/>
        </w:rPr>
        <w:t>市县财政部门</w:t>
      </w:r>
      <w:r>
        <w:rPr>
          <w:rFonts w:hint="eastAsia" w:ascii="Times New Roman" w:hAnsi="Times New Roman" w:eastAsia="仿宋_GB2312" w:cs="仿宋_GB2312"/>
          <w:color w:val="auto"/>
          <w:sz w:val="32"/>
          <w:szCs w:val="32"/>
          <w:highlight w:val="none"/>
          <w:lang w:bidi="ar"/>
        </w:rPr>
        <w:t>对专项资金开展预算执行动态监控</w:t>
      </w:r>
      <w:r>
        <w:rPr>
          <w:rFonts w:hint="eastAsia" w:ascii="Times New Roman" w:hAnsi="Times New Roman" w:cs="仿宋_GB2312"/>
          <w:color w:val="auto"/>
          <w:sz w:val="32"/>
          <w:szCs w:val="32"/>
          <w:highlight w:val="none"/>
          <w:lang w:eastAsia="zh-CN" w:bidi="ar"/>
        </w:rPr>
        <w:t>，</w:t>
      </w:r>
      <w:r>
        <w:rPr>
          <w:rFonts w:hint="eastAsia" w:ascii="Times New Roman" w:hAnsi="Times New Roman" w:eastAsia="仿宋_GB2312" w:cs="仿宋_GB2312"/>
          <w:color w:val="auto"/>
          <w:sz w:val="32"/>
          <w:szCs w:val="32"/>
          <w:highlight w:val="none"/>
          <w:lang w:bidi="ar"/>
        </w:rPr>
        <w:t>定期调度专项资金预算执行情况，</w:t>
      </w:r>
      <w:r>
        <w:rPr>
          <w:rFonts w:hint="eastAsia" w:ascii="Times New Roman" w:hAnsi="Times New Roman" w:cs="仿宋_GB2312"/>
          <w:color w:val="auto"/>
          <w:sz w:val="32"/>
          <w:szCs w:val="32"/>
          <w:highlight w:val="none"/>
          <w:lang w:eastAsia="zh-CN" w:bidi="ar"/>
        </w:rPr>
        <w:t>并及时通报属地</w:t>
      </w:r>
      <w:r>
        <w:rPr>
          <w:rFonts w:hint="eastAsia" w:cs="仿宋_GB2312"/>
          <w:color w:val="auto"/>
          <w:sz w:val="32"/>
          <w:szCs w:val="32"/>
          <w:highlight w:val="none"/>
          <w:lang w:eastAsia="zh-CN" w:bidi="ar"/>
        </w:rPr>
        <w:t>发改（能源）</w:t>
      </w:r>
      <w:r>
        <w:rPr>
          <w:rFonts w:hint="eastAsia" w:ascii="Times New Roman" w:hAnsi="Times New Roman" w:cs="仿宋_GB2312"/>
          <w:color w:val="auto"/>
          <w:sz w:val="32"/>
          <w:szCs w:val="32"/>
          <w:highlight w:val="none"/>
          <w:lang w:eastAsia="zh-CN" w:bidi="ar"/>
        </w:rPr>
        <w:t>部门</w:t>
      </w:r>
      <w:r>
        <w:rPr>
          <w:rFonts w:hint="eastAsia" w:ascii="Times New Roman" w:hAnsi="Times New Roman" w:eastAsia="仿宋_GB2312" w:cs="仿宋_GB2312"/>
          <w:color w:val="auto"/>
          <w:sz w:val="32"/>
          <w:szCs w:val="32"/>
          <w:highlight w:val="none"/>
          <w:lang w:bidi="ar"/>
        </w:rPr>
        <w:t>。</w:t>
      </w:r>
      <w:r>
        <w:rPr>
          <w:rFonts w:hint="eastAsia" w:ascii="Times New Roman" w:hAnsi="Times New Roman" w:eastAsia="仿宋_GB2312" w:cs="仿宋_GB2312"/>
          <w:b w:val="0"/>
          <w:bCs w:val="0"/>
          <w:color w:val="auto"/>
          <w:kern w:val="0"/>
          <w:sz w:val="32"/>
          <w:szCs w:val="32"/>
          <w:highlight w:val="none"/>
          <w:lang w:val="en-US" w:eastAsia="zh-CN"/>
        </w:rPr>
        <w:t>市</w:t>
      </w:r>
      <w:r>
        <w:rPr>
          <w:rFonts w:hint="eastAsia" w:ascii="Times New Roman" w:hAnsi="Times New Roman" w:eastAsia="仿宋_GB2312" w:cs="宋体"/>
          <w:color w:val="auto"/>
          <w:kern w:val="2"/>
          <w:sz w:val="32"/>
          <w:szCs w:val="24"/>
          <w:highlight w:val="none"/>
          <w:lang w:val="en-US" w:eastAsia="zh-CN" w:bidi="ar-SA"/>
        </w:rPr>
        <w:t>（州）发改（能源）</w:t>
      </w:r>
      <w:r>
        <w:rPr>
          <w:rFonts w:hint="eastAsia" w:ascii="Times New Roman" w:hAnsi="Times New Roman" w:cs="仿宋_GB2312"/>
          <w:color w:val="auto"/>
          <w:spacing w:val="0"/>
          <w:sz w:val="32"/>
          <w:szCs w:val="32"/>
          <w:highlight w:val="none"/>
          <w:lang w:eastAsia="zh-CN" w:bidi="ar"/>
        </w:rPr>
        <w:t>会同财政部门</w:t>
      </w:r>
      <w:r>
        <w:rPr>
          <w:rFonts w:hint="eastAsia" w:ascii="Times New Roman" w:hAnsi="Times New Roman" w:eastAsia="仿宋_GB2312" w:cs="仿宋_GB2312"/>
          <w:color w:val="auto"/>
          <w:kern w:val="2"/>
          <w:sz w:val="32"/>
          <w:szCs w:val="32"/>
          <w:highlight w:val="none"/>
          <w:lang w:val="en-US" w:eastAsia="zh-CN" w:bidi="ar"/>
        </w:rPr>
        <w:t>定期向</w:t>
      </w:r>
      <w:r>
        <w:rPr>
          <w:rFonts w:hint="eastAsia" w:ascii="Times New Roman" w:hAnsi="Times New Roman" w:cs="仿宋_GB2312"/>
          <w:color w:val="auto"/>
          <w:kern w:val="2"/>
          <w:sz w:val="32"/>
          <w:szCs w:val="32"/>
          <w:highlight w:val="none"/>
          <w:lang w:val="en-US" w:eastAsia="zh-CN" w:bidi="ar"/>
        </w:rPr>
        <w:t>省</w:t>
      </w:r>
      <w:r>
        <w:rPr>
          <w:rFonts w:hint="eastAsia" w:cs="仿宋_GB2312"/>
          <w:color w:val="auto"/>
          <w:kern w:val="2"/>
          <w:sz w:val="32"/>
          <w:szCs w:val="32"/>
          <w:highlight w:val="none"/>
          <w:lang w:val="en-US" w:eastAsia="zh-CN" w:bidi="ar"/>
        </w:rPr>
        <w:t>能源局</w:t>
      </w:r>
      <w:r>
        <w:rPr>
          <w:rFonts w:hint="eastAsia" w:ascii="Times New Roman" w:hAnsi="Times New Roman" w:eastAsia="仿宋_GB2312" w:cs="仿宋_GB2312"/>
          <w:color w:val="auto"/>
          <w:kern w:val="2"/>
          <w:sz w:val="32"/>
          <w:szCs w:val="32"/>
          <w:highlight w:val="none"/>
          <w:lang w:val="en-US" w:eastAsia="zh-CN" w:bidi="ar"/>
        </w:rPr>
        <w:t>报送预算执行情况</w:t>
      </w:r>
      <w:r>
        <w:rPr>
          <w:rFonts w:hint="eastAsia" w:ascii="Times New Roman" w:hAnsi="Times New Roman" w:cs="仿宋_GB2312"/>
          <w:color w:val="auto"/>
          <w:kern w:val="2"/>
          <w:sz w:val="32"/>
          <w:szCs w:val="32"/>
          <w:highlight w:val="none"/>
          <w:lang w:val="en-US" w:eastAsia="zh-CN" w:bidi="ar"/>
        </w:rPr>
        <w:t>。</w:t>
      </w:r>
    </w:p>
    <w:p w14:paraId="6B6A9B12">
      <w:pPr>
        <w:ind w:left="0" w:right="0" w:firstLine="640"/>
        <w:rPr>
          <w:rFonts w:hint="eastAsia" w:ascii="Times New Roman" w:hAnsi="Times New Roman" w:eastAsia="仿宋_GB2312" w:cs="宋体"/>
          <w:color w:val="auto"/>
          <w:highlight w:val="none"/>
        </w:rPr>
      </w:pPr>
    </w:p>
    <w:p w14:paraId="54D9F9BF">
      <w:pPr>
        <w:jc w:val="center"/>
        <w:rPr>
          <w:rFonts w:hint="eastAsia" w:ascii="Times New Roman" w:hAnsi="Times New Roman" w:eastAsia="黑体" w:cs="黑体"/>
          <w:color w:val="auto"/>
          <w:highlight w:val="none"/>
          <w:lang w:eastAsia="zh-CN"/>
        </w:rPr>
      </w:pPr>
      <w:r>
        <w:rPr>
          <w:rFonts w:hint="eastAsia" w:ascii="Times New Roman" w:hAnsi="Times New Roman" w:eastAsia="黑体" w:cs="黑体"/>
          <w:color w:val="auto"/>
          <w:highlight w:val="none"/>
        </w:rPr>
        <w:t>第</w:t>
      </w:r>
      <w:r>
        <w:rPr>
          <w:rFonts w:hint="eastAsia" w:eastAsia="黑体" w:cs="黑体"/>
          <w:color w:val="auto"/>
          <w:highlight w:val="none"/>
          <w:lang w:eastAsia="zh-CN"/>
        </w:rPr>
        <w:t>六</w:t>
      </w:r>
      <w:r>
        <w:rPr>
          <w:rFonts w:hint="eastAsia" w:ascii="Times New Roman" w:hAnsi="Times New Roman" w:eastAsia="黑体" w:cs="黑体"/>
          <w:color w:val="auto"/>
          <w:highlight w:val="none"/>
        </w:rPr>
        <w:t xml:space="preserve">章 </w:t>
      </w:r>
      <w:r>
        <w:rPr>
          <w:rFonts w:hint="eastAsia" w:ascii="Times New Roman" w:hAnsi="Times New Roman" w:eastAsia="黑体" w:cs="黑体"/>
          <w:color w:val="auto"/>
          <w:highlight w:val="none"/>
          <w:lang w:eastAsia="zh-CN"/>
        </w:rPr>
        <w:t>绩效考核和</w:t>
      </w:r>
      <w:r>
        <w:rPr>
          <w:rFonts w:hint="eastAsia" w:ascii="Times New Roman" w:hAnsi="Times New Roman" w:eastAsia="黑体" w:cs="黑体"/>
          <w:color w:val="auto"/>
          <w:highlight w:val="none"/>
        </w:rPr>
        <w:t>监督管理</w:t>
      </w:r>
    </w:p>
    <w:p w14:paraId="667F6AB1">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60" w:lineRule="exact"/>
        <w:ind w:left="0" w:leftChars="0" w:right="0" w:rightChars="0" w:firstLine="619" w:firstLineChars="200"/>
        <w:jc w:val="both"/>
        <w:rPr>
          <w:rFonts w:hint="default" w:ascii="Times New Roman" w:hAnsi="Times New Roman" w:eastAsia="仿宋_GB2312" w:cs="Times New Roman"/>
          <w:b/>
          <w:bCs/>
          <w:color w:val="auto"/>
          <w:spacing w:val="-6"/>
          <w:kern w:val="2"/>
          <w:sz w:val="32"/>
          <w:highlight w:val="none"/>
          <w:lang w:val="en-US" w:eastAsia="zh-CN"/>
        </w:rPr>
      </w:pPr>
    </w:p>
    <w:p w14:paraId="41BE8993">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60" w:lineRule="exact"/>
        <w:ind w:left="0" w:leftChars="0" w:right="0" w:rightChars="0" w:firstLine="619" w:firstLineChars="200"/>
        <w:jc w:val="both"/>
        <w:rPr>
          <w:rFonts w:hint="eastAsia" w:ascii="Times New Roman" w:hAnsi="Times New Roman" w:eastAsia="仿宋_GB2312" w:cs="仿宋_GB2312"/>
          <w:b w:val="0"/>
          <w:bCs w:val="0"/>
          <w:kern w:val="0"/>
          <w:sz w:val="32"/>
          <w:szCs w:val="32"/>
          <w:highlight w:val="none"/>
        </w:rPr>
      </w:pPr>
      <w:r>
        <w:rPr>
          <w:rFonts w:hint="default" w:ascii="Times New Roman" w:hAnsi="Times New Roman" w:eastAsia="仿宋_GB2312" w:cs="Times New Roman"/>
          <w:b/>
          <w:bCs/>
          <w:color w:val="auto"/>
          <w:spacing w:val="-6"/>
          <w:kern w:val="2"/>
          <w:sz w:val="32"/>
          <w:highlight w:val="none"/>
          <w:lang w:val="en-US" w:eastAsia="zh-CN"/>
        </w:rPr>
        <w:t>第</w:t>
      </w:r>
      <w:r>
        <w:rPr>
          <w:rFonts w:hint="eastAsia" w:cs="Times New Roman"/>
          <w:b/>
          <w:bCs/>
          <w:color w:val="auto"/>
          <w:spacing w:val="-6"/>
          <w:kern w:val="2"/>
          <w:sz w:val="32"/>
          <w:highlight w:val="none"/>
          <w:lang w:val="en-US" w:eastAsia="zh-CN"/>
        </w:rPr>
        <w:t>二十二</w:t>
      </w:r>
      <w:r>
        <w:rPr>
          <w:rFonts w:hint="default" w:ascii="Times New Roman" w:hAnsi="Times New Roman" w:eastAsia="仿宋_GB2312" w:cs="Times New Roman"/>
          <w:b/>
          <w:bCs/>
          <w:color w:val="auto"/>
          <w:spacing w:val="-6"/>
          <w:kern w:val="2"/>
          <w:sz w:val="32"/>
          <w:highlight w:val="none"/>
          <w:lang w:val="en-US" w:eastAsia="zh-CN"/>
        </w:rPr>
        <w:t>条</w:t>
      </w:r>
      <w:r>
        <w:rPr>
          <w:rFonts w:hint="default" w:ascii="Times New Roman" w:hAnsi="Times New Roman" w:eastAsia="仿宋_GB2312" w:cs="Times New Roman"/>
          <w:color w:val="auto"/>
          <w:spacing w:val="-6"/>
          <w:kern w:val="2"/>
          <w:sz w:val="32"/>
          <w:highlight w:val="none"/>
          <w:lang w:val="en-US" w:eastAsia="zh-CN"/>
        </w:rPr>
        <w:t xml:space="preserve"> </w:t>
      </w:r>
      <w:r>
        <w:rPr>
          <w:rFonts w:hint="eastAsia" w:ascii="Times New Roman" w:hAnsi="Times New Roman" w:cs="Times New Roman"/>
          <w:color w:val="auto"/>
          <w:spacing w:val="-6"/>
          <w:kern w:val="2"/>
          <w:sz w:val="32"/>
          <w:highlight w:val="none"/>
          <w:lang w:val="en-US" w:eastAsia="zh-CN"/>
        </w:rPr>
        <w:t xml:space="preserve"> </w:t>
      </w:r>
      <w:r>
        <w:rPr>
          <w:rFonts w:hint="default" w:ascii="Times New Roman" w:hAnsi="Times New Roman" w:eastAsia="仿宋_GB2312" w:cs="Times New Roman"/>
          <w:b w:val="0"/>
          <w:bCs w:val="0"/>
          <w:color w:val="auto"/>
          <w:spacing w:val="-6"/>
          <w:kern w:val="2"/>
          <w:sz w:val="32"/>
          <w:highlight w:val="none"/>
          <w:lang w:val="en-US" w:eastAsia="zh-CN"/>
        </w:rPr>
        <w:t>绩效管理。</w:t>
      </w:r>
      <w:r>
        <w:rPr>
          <w:rFonts w:hint="eastAsia" w:ascii="Times New Roman" w:hAnsi="Times New Roman" w:eastAsia="仿宋_GB2312" w:cs="仿宋_GB2312"/>
          <w:b w:val="0"/>
          <w:bCs w:val="0"/>
          <w:kern w:val="0"/>
          <w:sz w:val="32"/>
          <w:szCs w:val="32"/>
          <w:highlight w:val="none"/>
          <w:lang w:eastAsia="zh-CN"/>
        </w:rPr>
        <w:t>各地</w:t>
      </w:r>
      <w:r>
        <w:rPr>
          <w:rFonts w:hint="eastAsia" w:ascii="Times New Roman" w:hAnsi="Times New Roman" w:eastAsia="仿宋_GB2312" w:cs="仿宋_GB2312"/>
          <w:b w:val="0"/>
          <w:bCs w:val="0"/>
          <w:kern w:val="0"/>
          <w:sz w:val="32"/>
          <w:szCs w:val="32"/>
          <w:highlight w:val="none"/>
          <w:lang w:val="en-US" w:eastAsia="zh-CN"/>
        </w:rPr>
        <w:t>发改（能源）</w:t>
      </w:r>
      <w:r>
        <w:rPr>
          <w:rFonts w:hint="eastAsia" w:ascii="Times New Roman" w:hAnsi="Times New Roman" w:eastAsia="仿宋_GB2312" w:cs="仿宋_GB2312"/>
          <w:b w:val="0"/>
          <w:bCs w:val="0"/>
          <w:kern w:val="0"/>
          <w:sz w:val="32"/>
          <w:szCs w:val="32"/>
          <w:highlight w:val="none"/>
        </w:rPr>
        <w:t>部门在申报项目和资金时，相应制定区域（项目）绩效目标，经财政部门审核后，报省</w:t>
      </w:r>
      <w:r>
        <w:rPr>
          <w:rFonts w:hint="eastAsia" w:cs="仿宋_GB2312"/>
          <w:b w:val="0"/>
          <w:bCs w:val="0"/>
          <w:kern w:val="0"/>
          <w:sz w:val="32"/>
          <w:szCs w:val="32"/>
          <w:highlight w:val="none"/>
          <w:lang w:eastAsia="zh-CN"/>
        </w:rPr>
        <w:t>能源局</w:t>
      </w:r>
      <w:r>
        <w:rPr>
          <w:rFonts w:hint="eastAsia" w:ascii="Times New Roman" w:hAnsi="Times New Roman" w:eastAsia="仿宋_GB2312" w:cs="仿宋_GB2312"/>
          <w:b w:val="0"/>
          <w:bCs w:val="0"/>
          <w:kern w:val="0"/>
          <w:sz w:val="32"/>
          <w:szCs w:val="32"/>
          <w:highlight w:val="none"/>
        </w:rPr>
        <w:t>审核汇总。省</w:t>
      </w:r>
      <w:r>
        <w:rPr>
          <w:rFonts w:hint="eastAsia" w:cs="仿宋_GB2312"/>
          <w:b w:val="0"/>
          <w:bCs w:val="0"/>
          <w:kern w:val="0"/>
          <w:sz w:val="32"/>
          <w:szCs w:val="32"/>
          <w:highlight w:val="none"/>
          <w:lang w:eastAsia="zh-CN"/>
        </w:rPr>
        <w:t>能源局</w:t>
      </w:r>
      <w:r>
        <w:rPr>
          <w:rFonts w:hint="eastAsia" w:ascii="Times New Roman" w:hAnsi="Times New Roman" w:eastAsia="仿宋_GB2312" w:cs="仿宋_GB2312"/>
          <w:b w:val="0"/>
          <w:bCs w:val="0"/>
          <w:kern w:val="0"/>
          <w:sz w:val="32"/>
          <w:szCs w:val="32"/>
          <w:highlight w:val="none"/>
        </w:rPr>
        <w:t>在编制年度预算时同步提出资金整体绩效目标</w:t>
      </w:r>
      <w:r>
        <w:rPr>
          <w:rFonts w:hint="eastAsia" w:ascii="Times New Roman" w:hAnsi="Times New Roman" w:eastAsia="仿宋_GB2312" w:cs="仿宋_GB2312"/>
          <w:b w:val="0"/>
          <w:bCs w:val="0"/>
          <w:kern w:val="0"/>
          <w:sz w:val="32"/>
          <w:szCs w:val="32"/>
          <w:highlight w:val="none"/>
          <w:lang w:eastAsia="zh-CN"/>
        </w:rPr>
        <w:t>，并负责</w:t>
      </w:r>
      <w:r>
        <w:rPr>
          <w:rFonts w:hint="eastAsia" w:ascii="Times New Roman" w:hAnsi="Times New Roman" w:eastAsia="仿宋_GB2312" w:cs="仿宋_GB2312"/>
          <w:b w:val="0"/>
          <w:bCs w:val="0"/>
          <w:kern w:val="0"/>
          <w:sz w:val="32"/>
          <w:szCs w:val="32"/>
          <w:highlight w:val="none"/>
        </w:rPr>
        <w:t>将资金整体绩效目标随同资金分配方案提报省财政厅，审核通过的绩效目标表随同指标文件一并下达。省</w:t>
      </w:r>
      <w:r>
        <w:rPr>
          <w:rFonts w:hint="eastAsia" w:cs="仿宋_GB2312"/>
          <w:b w:val="0"/>
          <w:bCs w:val="0"/>
          <w:kern w:val="0"/>
          <w:sz w:val="32"/>
          <w:szCs w:val="32"/>
          <w:highlight w:val="none"/>
          <w:lang w:eastAsia="zh-CN"/>
        </w:rPr>
        <w:t>能源局</w:t>
      </w:r>
      <w:r>
        <w:rPr>
          <w:rFonts w:hint="eastAsia" w:ascii="Times New Roman" w:hAnsi="Times New Roman" w:eastAsia="仿宋_GB2312" w:cs="仿宋_GB2312"/>
          <w:b w:val="0"/>
          <w:bCs w:val="0"/>
          <w:kern w:val="0"/>
          <w:sz w:val="32"/>
          <w:szCs w:val="32"/>
          <w:highlight w:val="none"/>
        </w:rPr>
        <w:t>每年至少要组织开展</w:t>
      </w:r>
      <w:r>
        <w:rPr>
          <w:rFonts w:hint="eastAsia" w:ascii="Times New Roman" w:hAnsi="Times New Roman" w:eastAsia="宋体" w:cs="宋体"/>
          <w:b w:val="0"/>
          <w:bCs w:val="0"/>
          <w:kern w:val="0"/>
          <w:sz w:val="32"/>
          <w:szCs w:val="32"/>
          <w:highlight w:val="none"/>
        </w:rPr>
        <w:t>1</w:t>
      </w:r>
      <w:r>
        <w:rPr>
          <w:rFonts w:hint="eastAsia" w:ascii="Times New Roman" w:hAnsi="Times New Roman" w:eastAsia="仿宋_GB2312" w:cs="仿宋_GB2312"/>
          <w:b w:val="0"/>
          <w:bCs w:val="0"/>
          <w:kern w:val="0"/>
          <w:sz w:val="32"/>
          <w:szCs w:val="32"/>
          <w:highlight w:val="none"/>
        </w:rPr>
        <w:t>次绩效监控，并于</w:t>
      </w:r>
      <w:r>
        <w:rPr>
          <w:rFonts w:hint="eastAsia" w:ascii="Times New Roman" w:hAnsi="Times New Roman" w:eastAsia="宋体" w:cs="宋体"/>
          <w:b w:val="0"/>
          <w:bCs w:val="0"/>
          <w:kern w:val="0"/>
          <w:sz w:val="32"/>
          <w:szCs w:val="32"/>
          <w:highlight w:val="none"/>
        </w:rPr>
        <w:t>8</w:t>
      </w:r>
      <w:r>
        <w:rPr>
          <w:rFonts w:hint="eastAsia" w:ascii="Times New Roman" w:hAnsi="Times New Roman" w:eastAsia="仿宋_GB2312" w:cs="仿宋_GB2312"/>
          <w:b w:val="0"/>
          <w:bCs w:val="0"/>
          <w:kern w:val="0"/>
          <w:sz w:val="32"/>
          <w:szCs w:val="32"/>
          <w:highlight w:val="none"/>
        </w:rPr>
        <w:t>月底前将监控结果及应用情况报省财政厅。</w:t>
      </w:r>
    </w:p>
    <w:p w14:paraId="468EFBCB">
      <w:pPr>
        <w:pStyle w:val="13"/>
        <w:autoSpaceDE w:val="0"/>
        <w:spacing w:beforeLines="0"/>
        <w:ind w:firstLine="610" w:firstLineChars="190"/>
        <w:rPr>
          <w:rFonts w:hint="eastAsia" w:ascii="Times New Roman" w:hAnsi="Times New Roman"/>
          <w:highlight w:val="none"/>
          <w:lang w:eastAsia="zh-CN"/>
        </w:rPr>
      </w:pPr>
      <w:r>
        <w:rPr>
          <w:rFonts w:hint="eastAsia" w:ascii="Times New Roman" w:hAnsi="Times New Roman" w:eastAsia="仿宋_GB2312" w:cs="仿宋_GB2312"/>
          <w:b/>
          <w:bCs/>
          <w:kern w:val="0"/>
          <w:sz w:val="32"/>
          <w:szCs w:val="32"/>
          <w:highlight w:val="none"/>
          <w:lang w:eastAsia="zh-CN"/>
        </w:rPr>
        <w:t>第</w:t>
      </w:r>
      <w:r>
        <w:rPr>
          <w:rFonts w:hint="eastAsia" w:ascii="Times New Roman" w:hAnsi="Times New Roman" w:eastAsia="仿宋_GB2312" w:cs="仿宋_GB2312"/>
          <w:b/>
          <w:bCs/>
          <w:kern w:val="0"/>
          <w:sz w:val="32"/>
          <w:szCs w:val="32"/>
          <w:highlight w:val="none"/>
          <w:lang w:val="en-US" w:eastAsia="zh-CN"/>
        </w:rPr>
        <w:t>二十三条</w:t>
      </w:r>
      <w:r>
        <w:rPr>
          <w:rFonts w:hint="eastAsia" w:ascii="Times New Roman" w:hAnsi="Times New Roman" w:eastAsia="仿宋_GB2312" w:cs="仿宋_GB2312"/>
          <w:b w:val="0"/>
          <w:bCs w:val="0"/>
          <w:kern w:val="0"/>
          <w:sz w:val="32"/>
          <w:szCs w:val="32"/>
          <w:highlight w:val="none"/>
          <w:lang w:val="en-US" w:eastAsia="zh-CN"/>
        </w:rPr>
        <w:t xml:space="preserve">  </w:t>
      </w:r>
      <w:r>
        <w:rPr>
          <w:rFonts w:hint="eastAsia" w:ascii="Times New Roman" w:hAnsi="Times New Roman" w:eastAsia="仿宋_GB2312" w:cs="仿宋_GB2312"/>
          <w:b w:val="0"/>
          <w:bCs w:val="0"/>
          <w:kern w:val="0"/>
          <w:sz w:val="32"/>
          <w:szCs w:val="32"/>
          <w:highlight w:val="none"/>
          <w:lang w:eastAsia="zh-CN"/>
        </w:rPr>
        <w:t>绩效评价。</w:t>
      </w:r>
      <w:r>
        <w:rPr>
          <w:rFonts w:hint="eastAsia" w:ascii="Times New Roman" w:hAnsi="Times New Roman" w:eastAsia="仿宋_GB2312" w:cs="仿宋_GB2312"/>
          <w:b w:val="0"/>
          <w:bCs w:val="0"/>
          <w:kern w:val="0"/>
          <w:sz w:val="32"/>
          <w:szCs w:val="32"/>
          <w:highlight w:val="none"/>
          <w:lang w:eastAsia="zh-CN" w:bidi="ar-SA"/>
        </w:rPr>
        <w:t>预算年度终了，省能源局组织各地</w:t>
      </w:r>
      <w:r>
        <w:rPr>
          <w:rFonts w:hint="eastAsia" w:ascii="Times New Roman" w:hAnsi="Times New Roman" w:eastAsia="仿宋_GB2312" w:cs="仿宋_GB2312"/>
          <w:b w:val="0"/>
          <w:bCs w:val="0"/>
          <w:kern w:val="0"/>
          <w:sz w:val="32"/>
          <w:szCs w:val="32"/>
          <w:highlight w:val="none"/>
          <w:lang w:val="en-US" w:eastAsia="zh-CN"/>
        </w:rPr>
        <w:t>发改（能源）</w:t>
      </w:r>
      <w:r>
        <w:rPr>
          <w:rFonts w:hint="eastAsia" w:ascii="Times New Roman" w:hAnsi="Times New Roman" w:eastAsia="仿宋_GB2312" w:cs="仿宋_GB2312"/>
          <w:b w:val="0"/>
          <w:bCs w:val="0"/>
          <w:kern w:val="0"/>
          <w:sz w:val="32"/>
          <w:szCs w:val="32"/>
          <w:highlight w:val="none"/>
          <w:lang w:eastAsia="zh-CN" w:bidi="ar-SA"/>
        </w:rPr>
        <w:t>部门开展绩效自评工作，</w:t>
      </w:r>
      <w:r>
        <w:rPr>
          <w:rFonts w:hint="eastAsia" w:ascii="Times New Roman" w:hAnsi="Times New Roman" w:eastAsia="仿宋_GB2312" w:cs="仿宋_GB2312"/>
          <w:b w:val="0"/>
          <w:bCs w:val="0"/>
          <w:color w:val="auto"/>
          <w:kern w:val="0"/>
          <w:sz w:val="32"/>
          <w:szCs w:val="32"/>
          <w:highlight w:val="none"/>
          <w:lang w:val="en-US" w:eastAsia="zh-CN" w:bidi="ar-SA"/>
        </w:rPr>
        <w:t>每年3月底前形成上年度资金整体绩效自评报告。在此基础上，</w:t>
      </w:r>
      <w:r>
        <w:rPr>
          <w:rFonts w:hint="eastAsia" w:ascii="Times New Roman" w:hAnsi="Times New Roman" w:eastAsia="仿宋_GB2312" w:cs="仿宋_GB2312"/>
          <w:b w:val="0"/>
          <w:bCs w:val="0"/>
          <w:kern w:val="0"/>
          <w:sz w:val="32"/>
          <w:szCs w:val="32"/>
          <w:highlight w:val="none"/>
          <w:lang w:eastAsia="zh-CN" w:bidi="ar-SA"/>
        </w:rPr>
        <w:t>省能源局</w:t>
      </w:r>
      <w:r>
        <w:rPr>
          <w:rFonts w:hint="eastAsia" w:ascii="Times New Roman" w:hAnsi="Times New Roman" w:eastAsia="仿宋_GB2312" w:cs="仿宋_GB2312"/>
          <w:b w:val="0"/>
          <w:bCs w:val="0"/>
          <w:color w:val="auto"/>
          <w:kern w:val="0"/>
          <w:sz w:val="32"/>
          <w:szCs w:val="32"/>
          <w:highlight w:val="none"/>
          <w:lang w:val="en-US" w:eastAsia="zh-CN" w:bidi="ar-SA"/>
        </w:rPr>
        <w:t>开展部门评价，每年4月底前将评价报告报分管省领导，并抄送省财政厅。</w:t>
      </w:r>
      <w:r>
        <w:rPr>
          <w:rFonts w:hint="eastAsia" w:ascii="Times New Roman" w:hAnsi="Times New Roman" w:eastAsia="仿宋_GB2312" w:cs="仿宋_GB2312"/>
          <w:b w:val="0"/>
          <w:bCs w:val="0"/>
          <w:kern w:val="0"/>
          <w:sz w:val="32"/>
          <w:szCs w:val="32"/>
          <w:highlight w:val="none"/>
          <w:lang w:bidi="ar-SA"/>
        </w:rPr>
        <w:t>专项资金实施周期内，省财政厅适时组织开展财政评价，评价结果作为专项资金分配和预算安排的重要依据。</w:t>
      </w:r>
    </w:p>
    <w:p w14:paraId="25C419C8">
      <w:pPr>
        <w:spacing w:line="560" w:lineRule="exact"/>
        <w:ind w:left="0" w:right="0" w:firstLine="619" w:firstLineChars="200"/>
        <w:rPr>
          <w:rFonts w:hint="eastAsia" w:ascii="Times New Roman" w:hAnsi="Times New Roman" w:eastAsia="仿宋_GB2312" w:cs="仿宋_GB2312"/>
          <w:color w:val="auto"/>
          <w:sz w:val="32"/>
          <w:szCs w:val="32"/>
          <w:highlight w:val="none"/>
        </w:rPr>
      </w:pPr>
      <w:r>
        <w:rPr>
          <w:rFonts w:hint="default" w:ascii="Times New Roman" w:hAnsi="Times New Roman" w:eastAsia="仿宋_GB2312" w:cs="Times New Roman"/>
          <w:b/>
          <w:bCs/>
          <w:color w:val="auto"/>
          <w:spacing w:val="-6"/>
          <w:kern w:val="2"/>
          <w:sz w:val="32"/>
          <w:highlight w:val="none"/>
          <w:lang w:val="en-US" w:eastAsia="zh-CN"/>
        </w:rPr>
        <w:t>第</w:t>
      </w:r>
      <w:r>
        <w:rPr>
          <w:rFonts w:hint="eastAsia" w:cs="Times New Roman"/>
          <w:b/>
          <w:bCs/>
          <w:color w:val="auto"/>
          <w:spacing w:val="-6"/>
          <w:kern w:val="2"/>
          <w:sz w:val="32"/>
          <w:highlight w:val="none"/>
          <w:lang w:val="en-US" w:eastAsia="zh-CN"/>
        </w:rPr>
        <w:t>二十四</w:t>
      </w:r>
      <w:r>
        <w:rPr>
          <w:rFonts w:hint="default" w:ascii="Times New Roman" w:hAnsi="Times New Roman" w:eastAsia="仿宋_GB2312" w:cs="Times New Roman"/>
          <w:b/>
          <w:bCs/>
          <w:color w:val="auto"/>
          <w:spacing w:val="-6"/>
          <w:kern w:val="2"/>
          <w:sz w:val="32"/>
          <w:highlight w:val="none"/>
          <w:lang w:val="en-US" w:eastAsia="zh-CN"/>
        </w:rPr>
        <w:t xml:space="preserve">条 </w:t>
      </w:r>
      <w:r>
        <w:rPr>
          <w:rFonts w:hint="eastAsia" w:ascii="Times New Roman" w:hAnsi="Times New Roman" w:cs="Times New Roman"/>
          <w:b/>
          <w:bCs/>
          <w:color w:val="auto"/>
          <w:spacing w:val="-6"/>
          <w:kern w:val="2"/>
          <w:sz w:val="32"/>
          <w:highlight w:val="none"/>
          <w:lang w:val="en-US" w:eastAsia="zh-CN"/>
        </w:rPr>
        <w:t xml:space="preserve"> </w:t>
      </w:r>
      <w:r>
        <w:rPr>
          <w:rFonts w:hint="eastAsia" w:ascii="Times New Roman" w:hAnsi="Times New Roman" w:eastAsia="仿宋_GB2312" w:cs="Times New Roman"/>
          <w:b w:val="0"/>
          <w:bCs w:val="0"/>
          <w:color w:val="auto"/>
          <w:spacing w:val="-6"/>
          <w:kern w:val="2"/>
          <w:sz w:val="32"/>
          <w:highlight w:val="none"/>
          <w:lang w:val="en-US" w:eastAsia="zh-CN"/>
        </w:rPr>
        <w:t>项目跟踪。</w:t>
      </w:r>
      <w:r>
        <w:rPr>
          <w:rFonts w:hint="eastAsia" w:ascii="Times New Roman" w:hAnsi="Times New Roman" w:eastAsia="仿宋_GB2312" w:cs="仿宋_GB2312"/>
          <w:color w:val="auto"/>
          <w:sz w:val="32"/>
          <w:szCs w:val="32"/>
          <w:highlight w:val="none"/>
        </w:rPr>
        <w:t>申报单位应对其提交申报材料的真实性、准确性负责并承担申报主体责任，自觉接受并积极配合省级主管部门及相关责任部门的监督管理。申报单位存在违法违规行为，情节严重且难以整改和纠正的，按规定追回资金，并将失信信息纳入吉林省信用综合服务平台，在“信用中国（吉林）”网站予以公示，原则上5年内停止其申报资金资格。</w:t>
      </w:r>
    </w:p>
    <w:p w14:paraId="6A8F2DB8">
      <w:pPr>
        <w:spacing w:line="560" w:lineRule="exact"/>
        <w:ind w:left="0" w:right="0" w:firstLine="643" w:firstLineChars="200"/>
        <w:rPr>
          <w:rFonts w:hint="eastAsia" w:ascii="Times New Roman" w:hAnsi="Times New Roman" w:eastAsia="仿宋_GB2312" w:cs="宋体"/>
          <w:color w:val="auto"/>
          <w:highlight w:val="none"/>
        </w:rPr>
      </w:pPr>
      <w:r>
        <w:rPr>
          <w:rFonts w:hint="eastAsia" w:ascii="Times New Roman" w:hAnsi="Times New Roman" w:eastAsia="仿宋_GB2312" w:cs="宋体"/>
          <w:b/>
          <w:color w:val="auto"/>
          <w:highlight w:val="none"/>
        </w:rPr>
        <w:t>第</w:t>
      </w:r>
      <w:r>
        <w:rPr>
          <w:rFonts w:hint="eastAsia" w:cs="宋体"/>
          <w:b/>
          <w:color w:val="auto"/>
          <w:highlight w:val="none"/>
          <w:lang w:val="en-US" w:eastAsia="zh-CN"/>
        </w:rPr>
        <w:t>二十五</w:t>
      </w:r>
      <w:r>
        <w:rPr>
          <w:rFonts w:hint="eastAsia" w:ascii="Times New Roman" w:hAnsi="Times New Roman" w:eastAsia="仿宋_GB2312" w:cs="宋体"/>
          <w:b/>
          <w:color w:val="auto"/>
          <w:highlight w:val="none"/>
        </w:rPr>
        <w:t>条</w:t>
      </w:r>
      <w:r>
        <w:rPr>
          <w:rFonts w:hint="eastAsia" w:ascii="Times New Roman" w:hAnsi="Times New Roman" w:eastAsia="仿宋_GB2312" w:cs="宋体"/>
          <w:color w:val="auto"/>
          <w:highlight w:val="none"/>
        </w:rPr>
        <w:t xml:space="preserve"> </w:t>
      </w:r>
      <w:r>
        <w:rPr>
          <w:rFonts w:hint="eastAsia" w:cs="宋体"/>
          <w:color w:val="auto"/>
          <w:highlight w:val="none"/>
          <w:lang w:val="en-US" w:eastAsia="zh-CN"/>
        </w:rPr>
        <w:t xml:space="preserve"> 运营监控。</w:t>
      </w:r>
      <w:r>
        <w:rPr>
          <w:rFonts w:hint="eastAsia" w:ascii="Times New Roman" w:hAnsi="Times New Roman" w:eastAsia="仿宋_GB2312" w:cs="Times New Roman"/>
          <w:b w:val="0"/>
          <w:bCs w:val="0"/>
          <w:color w:val="auto"/>
          <w:kern w:val="0"/>
          <w:sz w:val="32"/>
          <w:szCs w:val="32"/>
          <w:highlight w:val="none"/>
          <w:lang w:val="en-US" w:eastAsia="zh-CN"/>
        </w:rPr>
        <w:t>各地发改（能源）部门要主动跟踪监控项目运营情况。省平台将定期梳理全省存在运营异常状态（停运、长时间维修、无</w:t>
      </w:r>
      <w:r>
        <w:rPr>
          <w:rFonts w:hint="eastAsia" w:cs="Times New Roman"/>
          <w:b w:val="0"/>
          <w:bCs w:val="0"/>
          <w:color w:val="auto"/>
          <w:kern w:val="0"/>
          <w:sz w:val="32"/>
          <w:szCs w:val="32"/>
          <w:highlight w:val="none"/>
          <w:lang w:val="en-US" w:eastAsia="zh-CN"/>
        </w:rPr>
        <w:t>充</w:t>
      </w:r>
      <w:r>
        <w:rPr>
          <w:rFonts w:hint="eastAsia" w:ascii="Times New Roman" w:hAnsi="Times New Roman" w:eastAsia="仿宋_GB2312" w:cs="Times New Roman"/>
          <w:b w:val="0"/>
          <w:bCs w:val="0"/>
          <w:color w:val="auto"/>
          <w:kern w:val="0"/>
          <w:sz w:val="32"/>
          <w:szCs w:val="32"/>
          <w:highlight w:val="none"/>
          <w:lang w:val="en-US" w:eastAsia="zh-CN"/>
        </w:rPr>
        <w:t>电量等）的</w:t>
      </w:r>
      <w:r>
        <w:rPr>
          <w:rFonts w:hint="eastAsia" w:cs="Times New Roman"/>
          <w:b w:val="0"/>
          <w:bCs w:val="0"/>
          <w:color w:val="auto"/>
          <w:kern w:val="0"/>
          <w:sz w:val="32"/>
          <w:szCs w:val="32"/>
          <w:highlight w:val="none"/>
          <w:lang w:val="en-US" w:eastAsia="zh-CN"/>
        </w:rPr>
        <w:t>站点</w:t>
      </w:r>
      <w:r>
        <w:rPr>
          <w:rFonts w:hint="eastAsia" w:ascii="Times New Roman" w:hAnsi="Times New Roman" w:eastAsia="仿宋_GB2312" w:cs="Times New Roman"/>
          <w:b w:val="0"/>
          <w:bCs w:val="0"/>
          <w:color w:val="auto"/>
          <w:kern w:val="0"/>
          <w:sz w:val="32"/>
          <w:szCs w:val="32"/>
          <w:highlight w:val="none"/>
          <w:lang w:val="en-US" w:eastAsia="zh-CN"/>
        </w:rPr>
        <w:t>设备明细，由省能源局通报给各市（州）主管部门。各市（州）主管部门要全面摸排设备异常原因，督促整改，尽快恢复投运状态。</w:t>
      </w:r>
      <w:r>
        <w:rPr>
          <w:rFonts w:hint="eastAsia" w:cs="宋体"/>
          <w:color w:val="auto"/>
          <w:highlight w:val="none"/>
          <w:lang w:eastAsia="zh-CN"/>
        </w:rPr>
        <w:t>获得</w:t>
      </w:r>
      <w:r>
        <w:rPr>
          <w:rFonts w:hint="eastAsia" w:ascii="Times New Roman" w:hAnsi="Times New Roman" w:eastAsia="仿宋_GB2312" w:cs="宋体"/>
          <w:color w:val="auto"/>
          <w:highlight w:val="none"/>
        </w:rPr>
        <w:t>补贴资金的</w:t>
      </w:r>
      <w:r>
        <w:rPr>
          <w:rFonts w:hint="eastAsia" w:cs="宋体"/>
          <w:color w:val="auto"/>
          <w:highlight w:val="none"/>
          <w:lang w:eastAsia="zh-CN"/>
        </w:rPr>
        <w:t>充电</w:t>
      </w:r>
      <w:r>
        <w:rPr>
          <w:rFonts w:hint="eastAsia" w:ascii="Times New Roman" w:hAnsi="Times New Roman" w:eastAsia="仿宋_GB2312" w:cs="宋体"/>
          <w:color w:val="auto"/>
          <w:highlight w:val="none"/>
        </w:rPr>
        <w:t>设施必须保证至少5年正常使用（正常</w:t>
      </w:r>
      <w:r>
        <w:rPr>
          <w:rFonts w:ascii="Times New Roman" w:hAnsi="Times New Roman" w:eastAsia="仿宋_GB2312" w:cs="宋体"/>
          <w:color w:val="auto"/>
          <w:highlight w:val="none"/>
        </w:rPr>
        <w:t>使用是指</w:t>
      </w:r>
      <w:r>
        <w:rPr>
          <w:rFonts w:hint="eastAsia" w:ascii="Times New Roman" w:hAnsi="Times New Roman" w:eastAsia="仿宋_GB2312" w:cs="宋体"/>
          <w:color w:val="auto"/>
          <w:highlight w:val="none"/>
        </w:rPr>
        <w:t>省级</w:t>
      </w:r>
      <w:r>
        <w:rPr>
          <w:rFonts w:ascii="Times New Roman" w:hAnsi="Times New Roman" w:eastAsia="仿宋_GB2312" w:cs="宋体"/>
          <w:color w:val="auto"/>
          <w:highlight w:val="none"/>
        </w:rPr>
        <w:t>平台能够实时监控，</w:t>
      </w:r>
      <w:r>
        <w:rPr>
          <w:rFonts w:hint="eastAsia" w:cs="宋体"/>
          <w:color w:val="auto"/>
          <w:highlight w:val="none"/>
          <w:lang w:eastAsia="zh-CN"/>
        </w:rPr>
        <w:t>充电</w:t>
      </w:r>
      <w:r>
        <w:rPr>
          <w:rFonts w:hint="eastAsia" w:ascii="Times New Roman" w:hAnsi="Times New Roman" w:cs="宋体"/>
          <w:color w:val="auto"/>
          <w:highlight w:val="none"/>
          <w:lang w:eastAsia="zh-CN"/>
        </w:rPr>
        <w:t>设备日均在线时长</w:t>
      </w:r>
      <w:r>
        <w:rPr>
          <w:rFonts w:hint="eastAsia" w:cs="宋体"/>
          <w:color w:val="auto"/>
          <w:highlight w:val="none"/>
          <w:lang w:eastAsia="zh-CN"/>
        </w:rPr>
        <w:t>不少于</w:t>
      </w:r>
      <w:r>
        <w:rPr>
          <w:rFonts w:hint="eastAsia" w:ascii="Times New Roman" w:hAnsi="Times New Roman" w:cs="宋体"/>
          <w:color w:val="auto"/>
          <w:highlight w:val="none"/>
          <w:lang w:val="en-US" w:eastAsia="zh-CN"/>
        </w:rPr>
        <w:t>15小时</w:t>
      </w:r>
      <w:r>
        <w:rPr>
          <w:rFonts w:hint="eastAsia" w:ascii="Times New Roman" w:hAnsi="Times New Roman" w:eastAsia="仿宋_GB2312" w:cs="宋体"/>
          <w:color w:val="auto"/>
          <w:highlight w:val="none"/>
        </w:rPr>
        <w:t>）</w:t>
      </w:r>
      <w:r>
        <w:rPr>
          <w:rFonts w:hint="eastAsia" w:cs="宋体"/>
          <w:color w:val="auto"/>
          <w:highlight w:val="none"/>
          <w:lang w:eastAsia="zh-CN"/>
        </w:rPr>
        <w:t>。</w:t>
      </w:r>
      <w:r>
        <w:rPr>
          <w:rFonts w:hint="eastAsia" w:ascii="Times New Roman" w:hAnsi="Times New Roman" w:eastAsia="仿宋_GB2312" w:cs="宋体"/>
          <w:color w:val="auto"/>
          <w:highlight w:val="none"/>
        </w:rPr>
        <w:t>如在5年内未正常使用的，</w:t>
      </w:r>
      <w:r>
        <w:rPr>
          <w:rFonts w:hint="eastAsia" w:cs="宋体"/>
          <w:color w:val="auto"/>
          <w:highlight w:val="none"/>
          <w:lang w:eastAsia="zh-CN"/>
        </w:rPr>
        <w:t>由各地发改（能源）部门会同财政部门组织项目单位</w:t>
      </w:r>
      <w:r>
        <w:rPr>
          <w:rFonts w:hint="eastAsia" w:ascii="Times New Roman" w:hAnsi="Times New Roman" w:eastAsia="仿宋_GB2312" w:cs="宋体"/>
          <w:color w:val="auto"/>
          <w:highlight w:val="none"/>
        </w:rPr>
        <w:t>退还</w:t>
      </w:r>
      <w:r>
        <w:rPr>
          <w:rFonts w:hint="eastAsia" w:cs="宋体"/>
          <w:color w:val="auto"/>
          <w:highlight w:val="none"/>
          <w:lang w:eastAsia="zh-CN"/>
        </w:rPr>
        <w:t>相关充电站的建设和运营</w:t>
      </w:r>
      <w:r>
        <w:rPr>
          <w:rFonts w:hint="eastAsia" w:ascii="Times New Roman" w:hAnsi="Times New Roman" w:eastAsia="仿宋_GB2312" w:cs="宋体"/>
          <w:color w:val="auto"/>
          <w:highlight w:val="none"/>
        </w:rPr>
        <w:t>补贴资金。</w:t>
      </w:r>
      <w:r>
        <w:rPr>
          <w:rFonts w:hint="eastAsia" w:cs="宋体"/>
          <w:color w:val="auto"/>
          <w:highlight w:val="none"/>
          <w:lang w:eastAsia="zh-CN"/>
        </w:rPr>
        <w:t>其中，</w:t>
      </w:r>
      <w:r>
        <w:rPr>
          <w:rFonts w:hint="eastAsia" w:ascii="Times New Roman" w:hAnsi="Times New Roman" w:eastAsia="仿宋_GB2312" w:cs="宋体"/>
          <w:color w:val="auto"/>
          <w:highlight w:val="none"/>
        </w:rPr>
        <w:t>使用时间少于3年的，退还50%；大于3年少于5年的，退还30%。</w:t>
      </w:r>
    </w:p>
    <w:p w14:paraId="05498CEF">
      <w:pPr>
        <w:spacing w:line="560" w:lineRule="exact"/>
        <w:ind w:left="0" w:right="0" w:firstLine="643" w:firstLineChars="200"/>
        <w:rPr>
          <w:rFonts w:hint="eastAsia" w:ascii="Times New Roman" w:hAnsi="Times New Roman" w:eastAsia="仿宋_GB2312" w:cs="宋体"/>
          <w:color w:val="auto"/>
          <w:highlight w:val="none"/>
        </w:rPr>
      </w:pPr>
      <w:r>
        <w:rPr>
          <w:rFonts w:hint="eastAsia" w:ascii="Times New Roman" w:hAnsi="Times New Roman" w:eastAsia="仿宋_GB2312" w:cs="宋体"/>
          <w:b/>
          <w:color w:val="auto"/>
          <w:highlight w:val="none"/>
        </w:rPr>
        <w:t>第</w:t>
      </w:r>
      <w:r>
        <w:rPr>
          <w:rFonts w:hint="eastAsia" w:cs="宋体"/>
          <w:b/>
          <w:color w:val="auto"/>
          <w:highlight w:val="none"/>
          <w:lang w:val="en-US" w:eastAsia="zh-CN"/>
        </w:rPr>
        <w:t>二十六</w:t>
      </w:r>
      <w:r>
        <w:rPr>
          <w:rFonts w:hint="eastAsia" w:ascii="Times New Roman" w:hAnsi="Times New Roman" w:eastAsia="仿宋_GB2312" w:cs="宋体"/>
          <w:b/>
          <w:color w:val="auto"/>
          <w:highlight w:val="none"/>
        </w:rPr>
        <w:t>条</w:t>
      </w:r>
      <w:r>
        <w:rPr>
          <w:rFonts w:hint="eastAsia" w:ascii="Times New Roman" w:hAnsi="Times New Roman" w:eastAsia="仿宋_GB2312" w:cs="宋体"/>
          <w:color w:val="auto"/>
          <w:highlight w:val="none"/>
        </w:rPr>
        <w:t xml:space="preserve"> </w:t>
      </w:r>
      <w:r>
        <w:rPr>
          <w:rFonts w:hint="eastAsia" w:cs="宋体"/>
          <w:color w:val="auto"/>
          <w:highlight w:val="none"/>
          <w:lang w:val="en-US" w:eastAsia="zh-CN"/>
        </w:rPr>
        <w:t xml:space="preserve"> 监督管理。</w:t>
      </w:r>
      <w:r>
        <w:rPr>
          <w:rFonts w:hint="eastAsia" w:ascii="Times New Roman" w:hAnsi="Times New Roman" w:eastAsia="仿宋_GB2312" w:cs="Times New Roman"/>
          <w:color w:val="auto"/>
          <w:spacing w:val="0"/>
          <w:kern w:val="0"/>
          <w:sz w:val="32"/>
          <w:szCs w:val="32"/>
          <w:highlight w:val="none"/>
          <w:lang w:val="en-US" w:eastAsia="zh-CN"/>
        </w:rPr>
        <w:t>各地要完善和规范申报项目推荐程序，科学公正地组织本地区项目申报。主动接受相关部门对项目组织申报全过程的监督，确保项目推荐程序的公正性和操作过程规范化。</w:t>
      </w:r>
    </w:p>
    <w:p w14:paraId="3A83ED1D">
      <w:pPr>
        <w:ind w:left="0" w:right="0" w:firstLine="640"/>
        <w:rPr>
          <w:rFonts w:hint="eastAsia" w:ascii="Times New Roman" w:hAnsi="Times New Roman" w:cs="宋体"/>
          <w:color w:val="auto"/>
          <w:highlight w:val="none"/>
          <w:lang w:val="en-US" w:eastAsia="zh-CN"/>
        </w:rPr>
      </w:pPr>
      <w:r>
        <w:rPr>
          <w:rFonts w:hint="eastAsia" w:cs="宋体"/>
          <w:b/>
          <w:bCs/>
          <w:color w:val="auto"/>
          <w:highlight w:val="none"/>
          <w:lang w:val="en-US" w:eastAsia="zh-CN"/>
        </w:rPr>
        <w:t>第二十七条</w:t>
      </w:r>
      <w:r>
        <w:rPr>
          <w:rFonts w:hint="eastAsia" w:cs="宋体"/>
          <w:color w:val="auto"/>
          <w:highlight w:val="none"/>
          <w:lang w:val="en-US" w:eastAsia="zh-CN"/>
        </w:rPr>
        <w:t xml:space="preserve">  责任追究。</w:t>
      </w:r>
      <w:r>
        <w:rPr>
          <w:rFonts w:hint="eastAsia" w:ascii="Times New Roman" w:hAnsi="Times New Roman" w:cs="宋体"/>
          <w:color w:val="auto"/>
          <w:highlight w:val="none"/>
          <w:lang w:val="en-US" w:eastAsia="zh-CN"/>
        </w:rPr>
        <w:t>对在绩效评价、监督检查等工作中，发现弄虚作假或采取不正当手段骗取补贴资金的，将依据有关</w:t>
      </w:r>
      <w:r>
        <w:rPr>
          <w:rFonts w:hint="eastAsia" w:cs="宋体"/>
          <w:color w:val="auto"/>
          <w:highlight w:val="none"/>
          <w:lang w:val="en-US" w:eastAsia="zh-CN"/>
        </w:rPr>
        <w:t>法律法规</w:t>
      </w:r>
      <w:r>
        <w:rPr>
          <w:rFonts w:hint="eastAsia" w:ascii="Times New Roman" w:hAnsi="Times New Roman" w:cs="宋体"/>
          <w:color w:val="auto"/>
          <w:highlight w:val="none"/>
          <w:lang w:val="en-US" w:eastAsia="zh-CN"/>
        </w:rPr>
        <w:t>追究申报单位及相关人员责任。</w:t>
      </w:r>
      <w:r>
        <w:rPr>
          <w:rFonts w:hint="eastAsia" w:ascii="Times New Roman" w:hAnsi="Times New Roman" w:eastAsia="仿宋_GB2312" w:cs="仿宋_GB2312"/>
          <w:b w:val="0"/>
          <w:bCs w:val="0"/>
          <w:color w:val="auto"/>
          <w:kern w:val="2"/>
          <w:sz w:val="32"/>
          <w:szCs w:val="32"/>
          <w:highlight w:val="none"/>
          <w:lang w:val="en-US" w:eastAsia="zh-CN" w:bidi="ar"/>
        </w:rPr>
        <w:t>各级财政、</w:t>
      </w:r>
      <w:r>
        <w:rPr>
          <w:rFonts w:hint="eastAsia" w:ascii="Times New Roman" w:hAnsi="Times New Roman" w:eastAsia="仿宋_GB2312" w:cs="Times New Roman"/>
          <w:b w:val="0"/>
          <w:bCs w:val="0"/>
          <w:color w:val="auto"/>
          <w:kern w:val="0"/>
          <w:sz w:val="32"/>
          <w:szCs w:val="32"/>
          <w:highlight w:val="none"/>
          <w:lang w:val="en-US" w:eastAsia="zh-CN"/>
        </w:rPr>
        <w:t>发改（能源）</w:t>
      </w:r>
      <w:r>
        <w:rPr>
          <w:rFonts w:hint="eastAsia" w:ascii="Times New Roman" w:hAnsi="Times New Roman" w:eastAsia="仿宋_GB2312" w:cs="仿宋_GB2312"/>
          <w:b w:val="0"/>
          <w:bCs w:val="0"/>
          <w:color w:val="auto"/>
          <w:kern w:val="2"/>
          <w:sz w:val="32"/>
          <w:szCs w:val="32"/>
          <w:highlight w:val="none"/>
          <w:lang w:val="en-US" w:eastAsia="zh-CN" w:bidi="ar"/>
        </w:rPr>
        <w:t>部门不得擅自扩大资金支出范围，</w:t>
      </w:r>
      <w:r>
        <w:rPr>
          <w:rFonts w:hint="default" w:ascii="Times New Roman" w:hAnsi="Times New Roman" w:eastAsia="仿宋_GB2312" w:cs="Times New Roman"/>
          <w:color w:val="auto"/>
          <w:spacing w:val="-6"/>
          <w:kern w:val="2"/>
          <w:sz w:val="32"/>
          <w:highlight w:val="none"/>
          <w:lang w:val="en-US" w:eastAsia="zh-CN"/>
        </w:rPr>
        <w:t>不得以</w:t>
      </w:r>
      <w:r>
        <w:rPr>
          <w:rFonts w:hint="eastAsia" w:ascii="Times New Roman" w:hAnsi="Times New Roman" w:cs="Times New Roman"/>
          <w:color w:val="auto"/>
          <w:spacing w:val="-6"/>
          <w:kern w:val="2"/>
          <w:sz w:val="32"/>
          <w:highlight w:val="none"/>
          <w:lang w:val="en-US" w:eastAsia="zh-CN"/>
        </w:rPr>
        <w:t>任何形式</w:t>
      </w:r>
      <w:r>
        <w:rPr>
          <w:rFonts w:hint="eastAsia" w:ascii="Times New Roman" w:hAnsi="Times New Roman" w:eastAsia="仿宋_GB2312" w:cs="仿宋_GB2312"/>
          <w:b w:val="0"/>
          <w:bCs w:val="0"/>
          <w:color w:val="auto"/>
          <w:kern w:val="2"/>
          <w:sz w:val="32"/>
          <w:szCs w:val="32"/>
          <w:highlight w:val="none"/>
          <w:lang w:val="en-US" w:eastAsia="zh-CN" w:bidi="ar"/>
        </w:rPr>
        <w:t>挤占、挪用、截留和滞留</w:t>
      </w:r>
      <w:r>
        <w:rPr>
          <w:rFonts w:hint="default" w:ascii="Times New Roman" w:hAnsi="Times New Roman" w:eastAsia="仿宋_GB2312" w:cs="Times New Roman"/>
          <w:color w:val="auto"/>
          <w:spacing w:val="-6"/>
          <w:kern w:val="2"/>
          <w:sz w:val="32"/>
          <w:highlight w:val="none"/>
          <w:lang w:val="en-US" w:eastAsia="zh-CN"/>
        </w:rPr>
        <w:t>专项资金。</w:t>
      </w:r>
    </w:p>
    <w:p w14:paraId="31A3025C">
      <w:pPr>
        <w:jc w:val="center"/>
        <w:rPr>
          <w:rFonts w:hint="eastAsia" w:ascii="Times New Roman" w:hAnsi="Times New Roman" w:eastAsia="黑体" w:cs="黑体"/>
          <w:color w:val="auto"/>
          <w:highlight w:val="none"/>
        </w:rPr>
      </w:pPr>
    </w:p>
    <w:p w14:paraId="6A01665F">
      <w:pPr>
        <w:jc w:val="center"/>
        <w:rPr>
          <w:rFonts w:hint="eastAsia" w:ascii="Times New Roman" w:hAnsi="Times New Roman" w:eastAsia="黑体" w:cs="黑体"/>
          <w:color w:val="auto"/>
          <w:highlight w:val="none"/>
        </w:rPr>
      </w:pPr>
      <w:r>
        <w:rPr>
          <w:rFonts w:hint="eastAsia" w:ascii="Times New Roman" w:hAnsi="Times New Roman" w:eastAsia="黑体" w:cs="黑体"/>
          <w:color w:val="auto"/>
          <w:highlight w:val="none"/>
        </w:rPr>
        <w:t>第</w:t>
      </w:r>
      <w:r>
        <w:rPr>
          <w:rFonts w:hint="eastAsia" w:eastAsia="黑体" w:cs="黑体"/>
          <w:color w:val="auto"/>
          <w:highlight w:val="none"/>
          <w:lang w:eastAsia="zh-CN"/>
        </w:rPr>
        <w:t>七</w:t>
      </w:r>
      <w:bookmarkStart w:id="0" w:name="_GoBack"/>
      <w:bookmarkEnd w:id="0"/>
      <w:r>
        <w:rPr>
          <w:rFonts w:hint="eastAsia" w:ascii="Times New Roman" w:hAnsi="Times New Roman" w:eastAsia="黑体" w:cs="黑体"/>
          <w:color w:val="auto"/>
          <w:highlight w:val="none"/>
        </w:rPr>
        <w:t>章 附则</w:t>
      </w:r>
    </w:p>
    <w:p w14:paraId="2C770E66">
      <w:pPr>
        <w:ind w:left="0" w:right="0" w:firstLine="640"/>
        <w:rPr>
          <w:rFonts w:hint="eastAsia" w:ascii="Times New Roman" w:hAnsi="Times New Roman" w:eastAsia="仿宋_GB2312" w:cs="宋体"/>
          <w:color w:val="auto"/>
          <w:highlight w:val="none"/>
        </w:rPr>
      </w:pPr>
    </w:p>
    <w:p w14:paraId="6E56BE62">
      <w:pPr>
        <w:ind w:left="0" w:right="0" w:firstLine="643"/>
        <w:rPr>
          <w:rFonts w:hint="eastAsia" w:cs="宋体"/>
          <w:color w:val="auto"/>
          <w:highlight w:val="none"/>
          <w:lang w:val="en-US" w:eastAsia="zh-CN"/>
        </w:rPr>
      </w:pPr>
      <w:r>
        <w:rPr>
          <w:rFonts w:hint="eastAsia" w:ascii="Times New Roman" w:hAnsi="Times New Roman" w:eastAsia="仿宋_GB2312" w:cs="宋体"/>
          <w:b/>
          <w:color w:val="auto"/>
          <w:highlight w:val="none"/>
        </w:rPr>
        <w:t>第</w:t>
      </w:r>
      <w:r>
        <w:rPr>
          <w:rFonts w:hint="eastAsia" w:cs="宋体"/>
          <w:b/>
          <w:color w:val="auto"/>
          <w:highlight w:val="none"/>
          <w:lang w:val="en-US" w:eastAsia="zh-CN"/>
        </w:rPr>
        <w:t>二十八</w:t>
      </w:r>
      <w:r>
        <w:rPr>
          <w:rFonts w:hint="eastAsia" w:ascii="Times New Roman" w:hAnsi="Times New Roman" w:eastAsia="仿宋_GB2312" w:cs="宋体"/>
          <w:b/>
          <w:color w:val="auto"/>
          <w:highlight w:val="none"/>
        </w:rPr>
        <w:t>条</w:t>
      </w:r>
      <w:r>
        <w:rPr>
          <w:rFonts w:hint="eastAsia" w:ascii="Times New Roman" w:hAnsi="Times New Roman" w:eastAsia="仿宋_GB2312" w:cs="宋体"/>
          <w:color w:val="auto"/>
          <w:highlight w:val="none"/>
        </w:rPr>
        <w:t xml:space="preserve"> </w:t>
      </w:r>
      <w:r>
        <w:rPr>
          <w:rFonts w:hint="eastAsia" w:cs="宋体"/>
          <w:color w:val="auto"/>
          <w:highlight w:val="none"/>
          <w:lang w:val="en-US" w:eastAsia="zh-CN"/>
        </w:rPr>
        <w:t xml:space="preserve"> 各市县可根据本细则，结合实际制定本地区充电站建设运营补贴实施细则，报省能源局、省财政厅备案。</w:t>
      </w:r>
    </w:p>
    <w:p w14:paraId="0D8007B3">
      <w:pPr>
        <w:ind w:left="0" w:right="0" w:firstLine="643"/>
        <w:rPr>
          <w:rFonts w:ascii="Times New Roman" w:hAnsi="Times New Roman" w:eastAsia="仿宋_GB2312"/>
          <w:color w:val="auto"/>
          <w:highlight w:val="none"/>
        </w:rPr>
      </w:pPr>
      <w:r>
        <w:rPr>
          <w:rFonts w:hint="eastAsia" w:cs="宋体"/>
          <w:b/>
          <w:bCs/>
          <w:color w:val="auto"/>
          <w:highlight w:val="none"/>
          <w:lang w:eastAsia="zh-CN"/>
        </w:rPr>
        <w:t>第二十九条</w:t>
      </w:r>
      <w:r>
        <w:rPr>
          <w:rFonts w:hint="eastAsia" w:cs="宋体"/>
          <w:color w:val="auto"/>
          <w:highlight w:val="none"/>
          <w:lang w:val="en-US" w:eastAsia="zh-CN"/>
        </w:rPr>
        <w:t xml:space="preserve">  </w:t>
      </w:r>
      <w:r>
        <w:rPr>
          <w:rFonts w:hint="eastAsia" w:ascii="Times New Roman" w:hAnsi="Times New Roman" w:eastAsia="仿宋_GB2312" w:cs="宋体"/>
          <w:color w:val="auto"/>
          <w:highlight w:val="none"/>
        </w:rPr>
        <w:t>本</w:t>
      </w:r>
      <w:r>
        <w:rPr>
          <w:rFonts w:hint="eastAsia" w:cs="宋体"/>
          <w:color w:val="auto"/>
          <w:highlight w:val="none"/>
          <w:lang w:eastAsia="zh-CN"/>
        </w:rPr>
        <w:t>细则</w:t>
      </w:r>
      <w:r>
        <w:rPr>
          <w:rFonts w:hint="eastAsia" w:ascii="Times New Roman" w:hAnsi="Times New Roman" w:eastAsia="仿宋_GB2312" w:cs="宋体"/>
          <w:color w:val="auto"/>
          <w:highlight w:val="none"/>
        </w:rPr>
        <w:t>由省能源局</w:t>
      </w:r>
      <w:r>
        <w:rPr>
          <w:rFonts w:hint="eastAsia" w:cs="宋体"/>
          <w:color w:val="auto"/>
          <w:highlight w:val="none"/>
          <w:lang w:eastAsia="zh-CN"/>
        </w:rPr>
        <w:t>、</w:t>
      </w:r>
      <w:r>
        <w:rPr>
          <w:rFonts w:hint="eastAsia" w:ascii="Times New Roman" w:hAnsi="Times New Roman" w:eastAsia="仿宋_GB2312" w:cs="宋体"/>
          <w:color w:val="auto"/>
          <w:highlight w:val="none"/>
        </w:rPr>
        <w:t>省财政厅负责解释。</w:t>
      </w:r>
    </w:p>
    <w:p w14:paraId="4B83934D">
      <w:pPr>
        <w:spacing w:line="560" w:lineRule="exact"/>
        <w:ind w:firstLine="643" w:firstLineChars="200"/>
        <w:rPr>
          <w:rFonts w:hint="default" w:ascii="Times New Roman" w:hAnsi="Times New Roman" w:eastAsia="仿宋_GB2312" w:cs="Times New Roman"/>
          <w:color w:val="auto"/>
          <w:spacing w:val="-6"/>
          <w:kern w:val="2"/>
          <w:sz w:val="32"/>
          <w:highlight w:val="none"/>
          <w:lang w:val="en-US" w:eastAsia="zh-CN"/>
        </w:rPr>
      </w:pPr>
      <w:r>
        <w:rPr>
          <w:rFonts w:hint="eastAsia" w:ascii="Times New Roman" w:hAnsi="Times New Roman" w:eastAsia="仿宋_GB2312" w:cs="宋体"/>
          <w:b/>
          <w:color w:val="auto"/>
          <w:highlight w:val="none"/>
        </w:rPr>
        <w:t>第</w:t>
      </w:r>
      <w:r>
        <w:rPr>
          <w:rFonts w:hint="eastAsia" w:cs="宋体"/>
          <w:b/>
          <w:color w:val="auto"/>
          <w:highlight w:val="none"/>
          <w:lang w:val="en-US" w:eastAsia="zh-CN"/>
        </w:rPr>
        <w:t>三十</w:t>
      </w:r>
      <w:r>
        <w:rPr>
          <w:rFonts w:hint="eastAsia" w:ascii="Times New Roman" w:hAnsi="Times New Roman" w:eastAsia="仿宋_GB2312" w:cs="宋体"/>
          <w:b/>
          <w:color w:val="auto"/>
          <w:highlight w:val="none"/>
        </w:rPr>
        <w:t>条</w:t>
      </w:r>
      <w:r>
        <w:rPr>
          <w:rFonts w:hint="eastAsia" w:ascii="Times New Roman" w:hAnsi="Times New Roman" w:cs="宋体"/>
          <w:b/>
          <w:color w:val="auto"/>
          <w:highlight w:val="none"/>
          <w:lang w:val="en-US" w:eastAsia="zh-CN"/>
        </w:rPr>
        <w:t xml:space="preserve"> </w:t>
      </w:r>
      <w:r>
        <w:rPr>
          <w:rFonts w:hint="eastAsia" w:cs="宋体"/>
          <w:b/>
          <w:color w:val="auto"/>
          <w:highlight w:val="none"/>
          <w:lang w:val="en-US" w:eastAsia="zh-CN"/>
        </w:rPr>
        <w:t xml:space="preserve"> </w:t>
      </w:r>
      <w:r>
        <w:rPr>
          <w:rFonts w:hint="default" w:ascii="Times New Roman" w:hAnsi="Times New Roman" w:eastAsia="仿宋_GB2312" w:cs="Times New Roman"/>
          <w:color w:val="auto"/>
          <w:spacing w:val="-6"/>
          <w:kern w:val="2"/>
          <w:sz w:val="32"/>
          <w:highlight w:val="none"/>
          <w:lang w:val="en-US" w:eastAsia="zh-CN"/>
        </w:rPr>
        <w:t>本细则自发布之日起实施，</w:t>
      </w:r>
      <w:r>
        <w:rPr>
          <w:rFonts w:hint="eastAsia" w:ascii="Times New Roman" w:hAnsi="Times New Roman" w:eastAsia="仿宋_GB2312" w:cs="仿宋_GB2312"/>
          <w:color w:val="auto"/>
          <w:kern w:val="2"/>
          <w:sz w:val="32"/>
          <w:szCs w:val="32"/>
          <w:highlight w:val="none"/>
          <w:lang w:val="en-US" w:eastAsia="zh-CN" w:bidi="ar"/>
        </w:rPr>
        <w:t>实施期限至</w:t>
      </w:r>
      <w:r>
        <w:rPr>
          <w:rFonts w:hint="eastAsia" w:ascii="Times New Roman" w:hAnsi="Times New Roman" w:eastAsia="宋体" w:cs="宋体"/>
          <w:color w:val="auto"/>
          <w:kern w:val="2"/>
          <w:sz w:val="32"/>
          <w:szCs w:val="32"/>
          <w:highlight w:val="none"/>
          <w:lang w:val="en-US" w:eastAsia="zh-CN" w:bidi="ar"/>
        </w:rPr>
        <w:t>202</w:t>
      </w:r>
      <w:r>
        <w:rPr>
          <w:rFonts w:hint="eastAsia" w:eastAsia="宋体" w:cs="宋体"/>
          <w:color w:val="auto"/>
          <w:kern w:val="2"/>
          <w:sz w:val="32"/>
          <w:szCs w:val="32"/>
          <w:highlight w:val="none"/>
          <w:lang w:val="en-US" w:eastAsia="zh-CN" w:bidi="ar"/>
        </w:rPr>
        <w:t>6</w:t>
      </w:r>
      <w:r>
        <w:rPr>
          <w:rFonts w:hint="eastAsia" w:ascii="Times New Roman" w:hAnsi="Times New Roman" w:eastAsia="仿宋_GB2312" w:cs="仿宋_GB2312"/>
          <w:color w:val="auto"/>
          <w:kern w:val="2"/>
          <w:sz w:val="32"/>
          <w:szCs w:val="32"/>
          <w:highlight w:val="none"/>
          <w:lang w:val="en-US" w:eastAsia="zh-CN" w:bidi="ar"/>
        </w:rPr>
        <w:t>年</w:t>
      </w:r>
      <w:r>
        <w:rPr>
          <w:rFonts w:hint="eastAsia" w:ascii="Times New Roman" w:hAnsi="Times New Roman" w:eastAsia="宋体" w:cs="宋体"/>
          <w:color w:val="auto"/>
          <w:kern w:val="2"/>
          <w:sz w:val="32"/>
          <w:szCs w:val="32"/>
          <w:highlight w:val="none"/>
          <w:lang w:val="en-US" w:eastAsia="zh-CN" w:bidi="ar"/>
        </w:rPr>
        <w:t>12</w:t>
      </w:r>
      <w:r>
        <w:rPr>
          <w:rFonts w:hint="eastAsia" w:ascii="Times New Roman" w:hAnsi="Times New Roman" w:eastAsia="仿宋_GB2312" w:cs="仿宋_GB2312"/>
          <w:color w:val="auto"/>
          <w:kern w:val="2"/>
          <w:sz w:val="32"/>
          <w:szCs w:val="32"/>
          <w:highlight w:val="none"/>
          <w:lang w:val="en-US" w:eastAsia="zh-CN" w:bidi="ar"/>
        </w:rPr>
        <w:t>月</w:t>
      </w:r>
      <w:r>
        <w:rPr>
          <w:rFonts w:hint="eastAsia" w:ascii="Times New Roman" w:hAnsi="Times New Roman" w:eastAsia="宋体" w:cs="宋体"/>
          <w:color w:val="auto"/>
          <w:kern w:val="2"/>
          <w:sz w:val="32"/>
          <w:szCs w:val="32"/>
          <w:highlight w:val="none"/>
          <w:lang w:val="en-US" w:eastAsia="zh-CN" w:bidi="ar"/>
        </w:rPr>
        <w:t>31</w:t>
      </w:r>
      <w:r>
        <w:rPr>
          <w:rFonts w:hint="eastAsia" w:ascii="Times New Roman" w:hAnsi="Times New Roman" w:eastAsia="仿宋_GB2312" w:cs="仿宋_GB2312"/>
          <w:color w:val="auto"/>
          <w:kern w:val="2"/>
          <w:sz w:val="32"/>
          <w:szCs w:val="32"/>
          <w:highlight w:val="none"/>
          <w:lang w:val="en-US" w:eastAsia="zh-CN" w:bidi="ar"/>
        </w:rPr>
        <w:t>日（</w:t>
      </w:r>
      <w:r>
        <w:rPr>
          <w:rFonts w:hint="eastAsia" w:ascii="Times New Roman" w:hAnsi="Times New Roman" w:eastAsia="宋体" w:cs="宋体"/>
          <w:color w:val="auto"/>
          <w:kern w:val="2"/>
          <w:sz w:val="32"/>
          <w:szCs w:val="32"/>
          <w:highlight w:val="none"/>
          <w:lang w:val="en-US" w:eastAsia="zh-CN" w:bidi="ar"/>
        </w:rPr>
        <w:t>2025</w:t>
      </w:r>
      <w:r>
        <w:rPr>
          <w:rFonts w:hint="eastAsia" w:ascii="Times New Roman" w:hAnsi="Times New Roman" w:eastAsia="仿宋_GB2312" w:cs="仿宋_GB2312"/>
          <w:color w:val="auto"/>
          <w:kern w:val="2"/>
          <w:sz w:val="32"/>
          <w:szCs w:val="32"/>
          <w:highlight w:val="none"/>
          <w:lang w:val="en-US" w:eastAsia="zh-CN" w:bidi="ar"/>
        </w:rPr>
        <w:t>年项目申报、储备、资金下达时间等，按照实际情况执行）</w:t>
      </w:r>
      <w:r>
        <w:rPr>
          <w:rFonts w:hint="eastAsia" w:cs="仿宋_GB2312"/>
          <w:color w:val="auto"/>
          <w:kern w:val="2"/>
          <w:sz w:val="32"/>
          <w:szCs w:val="32"/>
          <w:highlight w:val="none"/>
          <w:lang w:val="en-US" w:eastAsia="zh-CN" w:bidi="ar"/>
        </w:rPr>
        <w:t>。</w:t>
      </w:r>
      <w:r>
        <w:rPr>
          <w:rFonts w:hint="default" w:ascii="Times New Roman" w:hAnsi="Times New Roman" w:cs="Times New Roman"/>
          <w:color w:val="auto"/>
          <w:sz w:val="32"/>
          <w:szCs w:val="32"/>
          <w:highlight w:val="none"/>
          <w:lang w:eastAsia="zh-CN"/>
        </w:rPr>
        <w:t>《吉林省电动汽车充电站建设运营补贴实施细则（暂行）》</w:t>
      </w:r>
      <w:r>
        <w:rPr>
          <w:rFonts w:hint="default" w:ascii="Times New Roman" w:hAnsi="Times New Roman" w:eastAsia="仿宋_GB2312" w:cs="Times New Roman"/>
          <w:color w:val="auto"/>
          <w:spacing w:val="-6"/>
          <w:kern w:val="2"/>
          <w:sz w:val="32"/>
          <w:highlight w:val="none"/>
          <w:lang w:val="en-US" w:eastAsia="zh-CN"/>
        </w:rPr>
        <w:t>（吉能储能联〔2024〕304号）同时废止。</w:t>
      </w:r>
    </w:p>
    <w:p w14:paraId="5852F5BE">
      <w:pPr>
        <w:ind w:left="0" w:right="0" w:firstLine="643"/>
        <w:rPr>
          <w:rFonts w:hint="eastAsia" w:ascii="Times New Roman" w:hAnsi="Times New Roman" w:cs="宋体"/>
          <w:color w:val="auto"/>
          <w:highlight w:val="none"/>
          <w:lang w:val="en-US" w:eastAsia="zh-CN"/>
        </w:rPr>
      </w:pPr>
    </w:p>
    <w:p w14:paraId="7940991A">
      <w:pPr>
        <w:ind w:left="0" w:right="0" w:firstLine="643"/>
        <w:rPr>
          <w:rFonts w:hint="eastAsia" w:ascii="Times New Roman" w:hAnsi="Times New Roman" w:cs="宋体"/>
          <w:color w:val="auto"/>
          <w:highlight w:val="none"/>
          <w:lang w:val="en-US" w:eastAsia="zh-CN"/>
        </w:rPr>
      </w:pPr>
    </w:p>
    <w:p w14:paraId="44779E0C">
      <w:pPr>
        <w:ind w:left="0" w:right="0" w:firstLine="643"/>
        <w:rPr>
          <w:rFonts w:hint="eastAsia" w:cs="宋体"/>
          <w:color w:val="auto"/>
          <w:highlight w:val="none"/>
          <w:lang w:val="en-US" w:eastAsia="zh-CN"/>
        </w:rPr>
      </w:pPr>
    </w:p>
    <w:p w14:paraId="53281810">
      <w:pPr>
        <w:ind w:left="0" w:right="0" w:firstLine="643"/>
        <w:rPr>
          <w:rFonts w:hint="eastAsia" w:ascii="Times New Roman" w:hAnsi="Times New Roman" w:cs="宋体"/>
          <w:color w:val="auto"/>
          <w:highlight w:val="none"/>
          <w:lang w:val="en-US" w:eastAsia="zh-CN"/>
        </w:rPr>
        <w:sectPr>
          <w:footerReference r:id="rId3" w:type="default"/>
          <w:footnotePr>
            <w:pos w:val="beneathText"/>
            <w:numFmt w:val="decimal"/>
          </w:footnotePr>
          <w:pgSz w:w="11906" w:h="16838"/>
          <w:pgMar w:top="2098" w:right="1588" w:bottom="2098" w:left="1588" w:header="850" w:footer="1588" w:gutter="0"/>
          <w:pgBorders>
            <w:top w:val="none" w:sz="0" w:space="0"/>
            <w:left w:val="none" w:sz="0" w:space="0"/>
            <w:bottom w:val="none" w:sz="0" w:space="0"/>
            <w:right w:val="none" w:sz="0" w:space="0"/>
          </w:pgBorders>
          <w:pgNumType w:fmt="decimal" w:start="1"/>
          <w:cols w:space="720" w:num="1"/>
          <w:docGrid w:type="lines" w:linePitch="574" w:charSpace="-1844"/>
        </w:sectPr>
      </w:pPr>
    </w:p>
    <w:p w14:paraId="67A83498">
      <w:pPr>
        <w:keepNext w:val="0"/>
        <w:keepLines w:val="0"/>
        <w:pageBreakBefore w:val="0"/>
        <w:widowControl w:val="0"/>
        <w:kinsoku/>
        <w:wordWrap/>
        <w:overflowPunct/>
        <w:topLinePunct w:val="0"/>
        <w:autoSpaceDE/>
        <w:autoSpaceDN/>
        <w:bidi w:val="0"/>
        <w:adjustRightInd/>
        <w:snapToGrid/>
        <w:spacing w:line="760" w:lineRule="exact"/>
        <w:jc w:val="both"/>
        <w:textAlignment w:val="auto"/>
        <w:rPr>
          <w:rFonts w:hint="default" w:ascii="Times New Roman" w:hAnsi="Times New Roman" w:eastAsia="黑体" w:cs="黑体"/>
          <w:color w:val="auto"/>
          <w:sz w:val="30"/>
          <w:szCs w:val="30"/>
          <w:highlight w:val="none"/>
          <w:lang w:val="en-US" w:eastAsia="zh-CN"/>
        </w:rPr>
      </w:pPr>
      <w:r>
        <w:rPr>
          <w:rFonts w:hint="eastAsia" w:eastAsia="黑体" w:cs="黑体"/>
          <w:color w:val="auto"/>
          <w:sz w:val="30"/>
          <w:szCs w:val="30"/>
          <w:highlight w:val="none"/>
          <w:lang w:val="en-US" w:eastAsia="zh-CN"/>
        </w:rPr>
        <w:t>附表</w:t>
      </w:r>
    </w:p>
    <w:p w14:paraId="65776E59">
      <w:pPr>
        <w:keepNext w:val="0"/>
        <w:keepLines w:val="0"/>
        <w:pageBreakBefore w:val="0"/>
        <w:widowControl w:val="0"/>
        <w:kinsoku/>
        <w:wordWrap/>
        <w:overflowPunct/>
        <w:topLinePunct w:val="0"/>
        <w:autoSpaceDE/>
        <w:autoSpaceDN/>
        <w:bidi w:val="0"/>
        <w:adjustRightInd/>
        <w:snapToGrid/>
        <w:spacing w:before="289" w:beforeLines="50" w:after="289" w:afterLines="50"/>
        <w:ind w:right="0"/>
        <w:jc w:val="center"/>
        <w:textAlignment w:val="auto"/>
        <w:rPr>
          <w:rFonts w:hint="default" w:cs="宋体"/>
          <w:color w:val="auto"/>
          <w:highlight w:val="none"/>
          <w:lang w:val="en-US" w:eastAsia="zh-CN"/>
        </w:rPr>
      </w:pPr>
      <w:r>
        <w:rPr>
          <w:rFonts w:hint="default" w:ascii="Times New Roman" w:hAnsi="Times New Roman" w:eastAsia="仿宋_GB2312" w:cs="Times New Roman"/>
          <w:b/>
          <w:bCs/>
          <w:color w:val="auto"/>
          <w:highlight w:val="none"/>
          <w:lang w:val="en-US" w:eastAsia="zh-CN"/>
        </w:rPr>
        <w:t>吉林省</w:t>
      </w:r>
      <w:r>
        <w:rPr>
          <w:rFonts w:hint="eastAsia" w:ascii="Times New Roman" w:hAnsi="Times New Roman" w:cs="Times New Roman"/>
          <w:b/>
          <w:bCs/>
          <w:color w:val="auto"/>
          <w:highlight w:val="none"/>
          <w:lang w:val="en-US" w:eastAsia="zh-CN"/>
        </w:rPr>
        <w:t>电动汽车充电站</w:t>
      </w:r>
      <w:r>
        <w:rPr>
          <w:rFonts w:hint="default" w:ascii="Times New Roman" w:hAnsi="Times New Roman" w:eastAsia="仿宋_GB2312" w:cs="Times New Roman"/>
          <w:b/>
          <w:bCs/>
          <w:color w:val="auto"/>
          <w:highlight w:val="none"/>
          <w:lang w:val="en-US" w:eastAsia="zh-CN"/>
        </w:rPr>
        <w:t>运营补贴星级评定及补贴金额对照表</w:t>
      </w:r>
    </w:p>
    <w:tbl>
      <w:tblPr>
        <w:tblStyle w:val="6"/>
        <w:tblW w:w="153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48"/>
        <w:gridCol w:w="1811"/>
        <w:gridCol w:w="7159"/>
        <w:gridCol w:w="2250"/>
        <w:gridCol w:w="2250"/>
      </w:tblGrid>
      <w:tr w14:paraId="0EED2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1848" w:type="dxa"/>
            <w:tcBorders>
              <w:top w:val="single" w:color="000000" w:sz="4" w:space="0"/>
              <w:left w:val="single" w:color="000000" w:sz="4" w:space="0"/>
              <w:bottom w:val="single" w:color="000000" w:sz="4" w:space="0"/>
              <w:right w:val="single" w:color="000000" w:sz="4" w:space="0"/>
            </w:tcBorders>
            <w:vAlign w:val="center"/>
          </w:tcPr>
          <w:p w14:paraId="6F737534">
            <w:pPr>
              <w:keepNext w:val="0"/>
              <w:keepLines w:val="0"/>
              <w:widowControl/>
              <w:suppressLineNumbers w:val="0"/>
              <w:jc w:val="center"/>
              <w:textAlignment w:val="center"/>
              <w:rPr>
                <w:rFonts w:hint="eastAsia" w:ascii="Times New Roman" w:hAnsi="Times New Roman" w:eastAsia="楷体" w:cs="楷体"/>
                <w:b/>
                <w:bCs/>
                <w:i w:val="0"/>
                <w:iCs w:val="0"/>
                <w:color w:val="auto"/>
                <w:sz w:val="28"/>
                <w:szCs w:val="28"/>
                <w:highlight w:val="none"/>
                <w:u w:val="none"/>
              </w:rPr>
            </w:pPr>
            <w:r>
              <w:rPr>
                <w:rFonts w:hint="eastAsia" w:ascii="Times New Roman" w:hAnsi="Times New Roman" w:eastAsia="楷体" w:cs="楷体"/>
                <w:b/>
                <w:bCs/>
                <w:i w:val="0"/>
                <w:iCs w:val="0"/>
                <w:color w:val="auto"/>
                <w:kern w:val="0"/>
                <w:sz w:val="28"/>
                <w:szCs w:val="28"/>
                <w:highlight w:val="none"/>
                <w:u w:val="none"/>
                <w:lang w:val="en-US" w:eastAsia="zh-CN" w:bidi="ar"/>
              </w:rPr>
              <w:t>站点性质</w:t>
            </w:r>
          </w:p>
        </w:tc>
        <w:tc>
          <w:tcPr>
            <w:tcW w:w="1811" w:type="dxa"/>
            <w:tcBorders>
              <w:top w:val="single" w:color="000000" w:sz="8" w:space="0"/>
              <w:left w:val="nil"/>
              <w:bottom w:val="single" w:color="000000" w:sz="8" w:space="0"/>
              <w:right w:val="single" w:color="000000" w:sz="8" w:space="0"/>
            </w:tcBorders>
            <w:vAlign w:val="center"/>
          </w:tcPr>
          <w:p w14:paraId="2554A698">
            <w:pPr>
              <w:keepNext w:val="0"/>
              <w:keepLines w:val="0"/>
              <w:widowControl/>
              <w:suppressLineNumbers w:val="0"/>
              <w:jc w:val="center"/>
              <w:textAlignment w:val="center"/>
              <w:rPr>
                <w:rFonts w:hint="eastAsia" w:ascii="Times New Roman" w:hAnsi="Times New Roman" w:eastAsia="楷体" w:cs="楷体"/>
                <w:b/>
                <w:bCs/>
                <w:i w:val="0"/>
                <w:iCs w:val="0"/>
                <w:color w:val="auto"/>
                <w:sz w:val="28"/>
                <w:szCs w:val="28"/>
                <w:highlight w:val="none"/>
                <w:u w:val="none"/>
              </w:rPr>
            </w:pPr>
            <w:r>
              <w:rPr>
                <w:rFonts w:hint="eastAsia" w:ascii="Times New Roman" w:hAnsi="Times New Roman" w:eastAsia="楷体" w:cs="楷体"/>
                <w:b/>
                <w:bCs/>
                <w:i w:val="0"/>
                <w:iCs w:val="0"/>
                <w:color w:val="auto"/>
                <w:kern w:val="0"/>
                <w:sz w:val="28"/>
                <w:szCs w:val="28"/>
                <w:highlight w:val="none"/>
                <w:u w:val="none"/>
                <w:lang w:val="en-US" w:eastAsia="zh-CN" w:bidi="ar"/>
              </w:rPr>
              <w:t>站点星级</w:t>
            </w:r>
          </w:p>
        </w:tc>
        <w:tc>
          <w:tcPr>
            <w:tcW w:w="7159" w:type="dxa"/>
            <w:tcBorders>
              <w:top w:val="single" w:color="000000" w:sz="8" w:space="0"/>
              <w:left w:val="single" w:color="000000" w:sz="8" w:space="0"/>
              <w:bottom w:val="single" w:color="000000" w:sz="8" w:space="0"/>
              <w:right w:val="single" w:color="000000" w:sz="8" w:space="0"/>
            </w:tcBorders>
            <w:vAlign w:val="center"/>
          </w:tcPr>
          <w:p w14:paraId="27544185">
            <w:pPr>
              <w:keepNext w:val="0"/>
              <w:keepLines w:val="0"/>
              <w:widowControl/>
              <w:suppressLineNumbers w:val="0"/>
              <w:jc w:val="center"/>
              <w:textAlignment w:val="center"/>
              <w:rPr>
                <w:rFonts w:hint="eastAsia" w:ascii="Times New Roman" w:hAnsi="Times New Roman" w:eastAsia="楷体" w:cs="楷体"/>
                <w:b/>
                <w:bCs/>
                <w:i w:val="0"/>
                <w:iCs w:val="0"/>
                <w:color w:val="auto"/>
                <w:sz w:val="28"/>
                <w:szCs w:val="28"/>
                <w:highlight w:val="none"/>
                <w:u w:val="none"/>
              </w:rPr>
            </w:pPr>
            <w:r>
              <w:rPr>
                <w:rFonts w:hint="eastAsia" w:ascii="Times New Roman" w:hAnsi="Times New Roman" w:eastAsia="楷体" w:cs="楷体"/>
                <w:b/>
                <w:bCs/>
                <w:i w:val="0"/>
                <w:iCs w:val="0"/>
                <w:color w:val="auto"/>
                <w:kern w:val="0"/>
                <w:sz w:val="28"/>
                <w:szCs w:val="28"/>
                <w:highlight w:val="none"/>
                <w:u w:val="none"/>
                <w:lang w:val="en-US" w:eastAsia="zh-CN" w:bidi="ar"/>
              </w:rPr>
              <w:t>定义</w:t>
            </w:r>
          </w:p>
        </w:tc>
        <w:tc>
          <w:tcPr>
            <w:tcW w:w="2250" w:type="dxa"/>
            <w:tcBorders>
              <w:top w:val="single" w:color="000000" w:sz="8" w:space="0"/>
              <w:left w:val="single" w:color="000000" w:sz="8" w:space="0"/>
              <w:bottom w:val="single" w:color="000000" w:sz="8" w:space="0"/>
              <w:right w:val="single" w:color="000000" w:sz="8" w:space="0"/>
            </w:tcBorders>
            <w:vAlign w:val="center"/>
          </w:tcPr>
          <w:p w14:paraId="365F869D">
            <w:pPr>
              <w:keepNext w:val="0"/>
              <w:keepLines w:val="0"/>
              <w:widowControl/>
              <w:suppressLineNumbers w:val="0"/>
              <w:jc w:val="center"/>
              <w:textAlignment w:val="center"/>
              <w:rPr>
                <w:rFonts w:hint="eastAsia" w:ascii="Times New Roman" w:hAnsi="Times New Roman" w:eastAsia="楷体" w:cs="楷体"/>
                <w:b/>
                <w:bCs/>
                <w:i w:val="0"/>
                <w:iCs w:val="0"/>
                <w:color w:val="auto"/>
                <w:sz w:val="28"/>
                <w:szCs w:val="28"/>
                <w:highlight w:val="none"/>
                <w:u w:val="none"/>
              </w:rPr>
            </w:pPr>
            <w:r>
              <w:rPr>
                <w:rFonts w:hint="eastAsia" w:ascii="Times New Roman" w:hAnsi="Times New Roman" w:eastAsia="楷体" w:cs="楷体"/>
                <w:b/>
                <w:bCs/>
                <w:i w:val="0"/>
                <w:iCs w:val="0"/>
                <w:color w:val="auto"/>
                <w:kern w:val="0"/>
                <w:sz w:val="28"/>
                <w:szCs w:val="28"/>
                <w:highlight w:val="none"/>
                <w:u w:val="none"/>
                <w:lang w:val="en-US" w:eastAsia="zh-CN" w:bidi="ar"/>
              </w:rPr>
              <w:t>星级补贴标准</w:t>
            </w:r>
          </w:p>
        </w:tc>
        <w:tc>
          <w:tcPr>
            <w:tcW w:w="2250" w:type="dxa"/>
            <w:tcBorders>
              <w:top w:val="single" w:color="000000" w:sz="8" w:space="0"/>
              <w:left w:val="single" w:color="000000" w:sz="8" w:space="0"/>
              <w:bottom w:val="single" w:color="000000" w:sz="8" w:space="0"/>
              <w:right w:val="single" w:color="000000" w:sz="8" w:space="0"/>
            </w:tcBorders>
            <w:vAlign w:val="center"/>
          </w:tcPr>
          <w:p w14:paraId="3457360C">
            <w:pPr>
              <w:keepNext w:val="0"/>
              <w:keepLines w:val="0"/>
              <w:widowControl/>
              <w:suppressLineNumbers w:val="0"/>
              <w:jc w:val="center"/>
              <w:textAlignment w:val="center"/>
              <w:rPr>
                <w:rFonts w:hint="eastAsia" w:ascii="Times New Roman" w:hAnsi="Times New Roman" w:eastAsia="楷体" w:cs="楷体"/>
                <w:b/>
                <w:bCs/>
                <w:i w:val="0"/>
                <w:iCs w:val="0"/>
                <w:color w:val="auto"/>
                <w:kern w:val="0"/>
                <w:sz w:val="28"/>
                <w:szCs w:val="28"/>
                <w:highlight w:val="none"/>
                <w:u w:val="none"/>
                <w:lang w:val="en-US" w:eastAsia="zh-CN" w:bidi="ar"/>
              </w:rPr>
            </w:pPr>
            <w:r>
              <w:rPr>
                <w:rFonts w:hint="eastAsia" w:ascii="Times New Roman" w:hAnsi="Times New Roman" w:eastAsia="楷体" w:cs="楷体"/>
                <w:b/>
                <w:bCs/>
                <w:i w:val="0"/>
                <w:iCs w:val="0"/>
                <w:color w:val="auto"/>
                <w:kern w:val="0"/>
                <w:sz w:val="28"/>
                <w:szCs w:val="28"/>
                <w:highlight w:val="none"/>
                <w:u w:val="none"/>
                <w:lang w:val="en-US" w:eastAsia="zh-CN" w:bidi="ar"/>
              </w:rPr>
              <w:t>补贴</w:t>
            </w:r>
            <w:r>
              <w:rPr>
                <w:rFonts w:hint="eastAsia" w:eastAsia="楷体" w:cs="楷体"/>
                <w:b/>
                <w:bCs/>
                <w:i w:val="0"/>
                <w:iCs w:val="0"/>
                <w:color w:val="auto"/>
                <w:kern w:val="0"/>
                <w:sz w:val="28"/>
                <w:szCs w:val="28"/>
                <w:highlight w:val="none"/>
                <w:u w:val="none"/>
                <w:lang w:val="en-US" w:eastAsia="zh-CN" w:bidi="ar"/>
              </w:rPr>
              <w:t>电量</w:t>
            </w:r>
            <w:r>
              <w:rPr>
                <w:rFonts w:hint="eastAsia" w:ascii="Times New Roman" w:hAnsi="Times New Roman" w:eastAsia="楷体" w:cs="楷体"/>
                <w:b/>
                <w:bCs/>
                <w:i w:val="0"/>
                <w:iCs w:val="0"/>
                <w:color w:val="auto"/>
                <w:kern w:val="0"/>
                <w:sz w:val="28"/>
                <w:szCs w:val="28"/>
                <w:highlight w:val="none"/>
                <w:u w:val="none"/>
                <w:lang w:val="en-US" w:eastAsia="zh-CN" w:bidi="ar"/>
              </w:rPr>
              <w:t>上限</w:t>
            </w:r>
          </w:p>
        </w:tc>
      </w:tr>
      <w:tr w14:paraId="7B856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jc w:val="center"/>
        </w:trPr>
        <w:tc>
          <w:tcPr>
            <w:tcW w:w="1848" w:type="dxa"/>
            <w:vMerge w:val="restart"/>
            <w:tcBorders>
              <w:top w:val="single" w:color="000000" w:sz="4" w:space="0"/>
              <w:left w:val="single" w:color="000000" w:sz="4" w:space="0"/>
              <w:bottom w:val="single" w:color="000000" w:sz="4" w:space="0"/>
              <w:right w:val="single" w:color="000000" w:sz="4" w:space="0"/>
            </w:tcBorders>
            <w:vAlign w:val="center"/>
          </w:tcPr>
          <w:p w14:paraId="4DC50F6A">
            <w:pPr>
              <w:keepNext w:val="0"/>
              <w:keepLines w:val="0"/>
              <w:widowControl/>
              <w:suppressLineNumbers w:val="0"/>
              <w:jc w:val="center"/>
              <w:textAlignment w:val="center"/>
              <w:rPr>
                <w:rFonts w:hint="eastAsia" w:ascii="Times New Roman" w:hAnsi="Times New Roman" w:eastAsia="楷体" w:cs="楷体"/>
                <w:i w:val="0"/>
                <w:iCs w:val="0"/>
                <w:color w:val="auto"/>
                <w:sz w:val="28"/>
                <w:szCs w:val="28"/>
                <w:highlight w:val="none"/>
                <w:u w:val="none"/>
              </w:rPr>
            </w:pPr>
            <w:r>
              <w:rPr>
                <w:rFonts w:hint="eastAsia" w:ascii="Times New Roman" w:hAnsi="Times New Roman" w:eastAsia="楷体" w:cs="楷体"/>
                <w:i w:val="0"/>
                <w:iCs w:val="0"/>
                <w:color w:val="auto"/>
                <w:kern w:val="0"/>
                <w:sz w:val="28"/>
                <w:szCs w:val="28"/>
                <w:highlight w:val="none"/>
                <w:u w:val="none"/>
                <w:lang w:val="en-US" w:eastAsia="zh-CN" w:bidi="ar"/>
              </w:rPr>
              <w:t>充电站</w:t>
            </w:r>
          </w:p>
        </w:tc>
        <w:tc>
          <w:tcPr>
            <w:tcW w:w="1811" w:type="dxa"/>
            <w:tcBorders>
              <w:top w:val="nil"/>
              <w:left w:val="nil"/>
              <w:bottom w:val="single" w:color="000000" w:sz="8" w:space="0"/>
              <w:right w:val="single" w:color="000000" w:sz="8" w:space="0"/>
            </w:tcBorders>
            <w:vAlign w:val="center"/>
          </w:tcPr>
          <w:p w14:paraId="77B69108">
            <w:pPr>
              <w:keepNext w:val="0"/>
              <w:keepLines w:val="0"/>
              <w:widowControl/>
              <w:suppressLineNumbers w:val="0"/>
              <w:jc w:val="center"/>
              <w:textAlignment w:val="center"/>
              <w:rPr>
                <w:rFonts w:hint="eastAsia" w:ascii="Times New Roman" w:hAnsi="Times New Roman" w:eastAsia="楷体" w:cs="楷体"/>
                <w:i w:val="0"/>
                <w:iCs w:val="0"/>
                <w:color w:val="auto"/>
                <w:sz w:val="28"/>
                <w:szCs w:val="28"/>
                <w:highlight w:val="none"/>
                <w:u w:val="none"/>
              </w:rPr>
            </w:pPr>
            <w:r>
              <w:rPr>
                <w:rFonts w:hint="eastAsia" w:ascii="Times New Roman" w:hAnsi="Times New Roman" w:eastAsia="楷体" w:cs="楷体"/>
                <w:i w:val="0"/>
                <w:iCs w:val="0"/>
                <w:color w:val="auto"/>
                <w:kern w:val="0"/>
                <w:sz w:val="28"/>
                <w:szCs w:val="28"/>
                <w:highlight w:val="none"/>
                <w:u w:val="none"/>
                <w:lang w:val="en-US" w:eastAsia="zh-CN" w:bidi="ar"/>
              </w:rPr>
              <w:t>三星</w:t>
            </w:r>
          </w:p>
        </w:tc>
        <w:tc>
          <w:tcPr>
            <w:tcW w:w="7159" w:type="dxa"/>
            <w:vMerge w:val="restart"/>
            <w:tcBorders>
              <w:top w:val="nil"/>
              <w:left w:val="single" w:color="000000" w:sz="8" w:space="0"/>
              <w:bottom w:val="single" w:color="000000" w:sz="8" w:space="0"/>
              <w:right w:val="single" w:color="000000" w:sz="8" w:space="0"/>
            </w:tcBorders>
            <w:vAlign w:val="center"/>
          </w:tcPr>
          <w:p w14:paraId="113A3330">
            <w:pPr>
              <w:keepNext w:val="0"/>
              <w:keepLines w:val="0"/>
              <w:widowControl/>
              <w:suppressLineNumbers w:val="0"/>
              <w:jc w:val="both"/>
              <w:textAlignment w:val="center"/>
              <w:rPr>
                <w:rFonts w:hint="eastAsia" w:ascii="Times New Roman" w:hAnsi="Times New Roman" w:eastAsia="楷体" w:cs="楷体"/>
                <w:i w:val="0"/>
                <w:iCs w:val="0"/>
                <w:color w:val="auto"/>
                <w:sz w:val="28"/>
                <w:szCs w:val="28"/>
                <w:highlight w:val="none"/>
                <w:u w:val="none"/>
              </w:rPr>
            </w:pPr>
            <w:r>
              <w:rPr>
                <w:rFonts w:hint="eastAsia" w:ascii="Times New Roman" w:hAnsi="Times New Roman" w:eastAsia="楷体" w:cs="楷体"/>
                <w:i w:val="0"/>
                <w:iCs w:val="0"/>
                <w:color w:val="auto"/>
                <w:kern w:val="0"/>
                <w:sz w:val="28"/>
                <w:szCs w:val="28"/>
                <w:highlight w:val="none"/>
                <w:u w:val="none"/>
                <w:lang w:val="en-US" w:eastAsia="zh-CN" w:bidi="ar"/>
              </w:rPr>
              <w:t>除不合格之外的场站，按照得分由高到低排序：</w:t>
            </w:r>
            <w:r>
              <w:rPr>
                <w:rFonts w:hint="eastAsia" w:ascii="Times New Roman" w:hAnsi="Times New Roman" w:eastAsia="楷体" w:cs="楷体"/>
                <w:i w:val="0"/>
                <w:iCs w:val="0"/>
                <w:color w:val="auto"/>
                <w:kern w:val="0"/>
                <w:sz w:val="28"/>
                <w:szCs w:val="28"/>
                <w:highlight w:val="none"/>
                <w:u w:val="none"/>
                <w:lang w:val="en-US" w:eastAsia="zh-CN" w:bidi="ar"/>
              </w:rPr>
              <w:br w:type="textWrapping"/>
            </w:r>
            <w:r>
              <w:rPr>
                <w:rFonts w:hint="eastAsia" w:ascii="Times New Roman" w:hAnsi="Times New Roman" w:eastAsia="楷体" w:cs="楷体"/>
                <w:i w:val="0"/>
                <w:iCs w:val="0"/>
                <w:color w:val="auto"/>
                <w:kern w:val="0"/>
                <w:sz w:val="28"/>
                <w:szCs w:val="28"/>
                <w:highlight w:val="none"/>
                <w:u w:val="none"/>
                <w:lang w:val="en-US" w:eastAsia="zh-CN" w:bidi="ar"/>
              </w:rPr>
              <w:t>三星：前30%（含）；</w:t>
            </w:r>
            <w:r>
              <w:rPr>
                <w:rFonts w:hint="eastAsia" w:ascii="Times New Roman" w:hAnsi="Times New Roman" w:eastAsia="楷体" w:cs="楷体"/>
                <w:i w:val="0"/>
                <w:iCs w:val="0"/>
                <w:color w:val="auto"/>
                <w:kern w:val="0"/>
                <w:sz w:val="28"/>
                <w:szCs w:val="28"/>
                <w:highlight w:val="none"/>
                <w:u w:val="none"/>
                <w:lang w:val="en-US" w:eastAsia="zh-CN" w:bidi="ar"/>
              </w:rPr>
              <w:br w:type="textWrapping"/>
            </w:r>
            <w:r>
              <w:rPr>
                <w:rFonts w:hint="eastAsia" w:ascii="Times New Roman" w:hAnsi="Times New Roman" w:eastAsia="楷体" w:cs="楷体"/>
                <w:i w:val="0"/>
                <w:iCs w:val="0"/>
                <w:color w:val="auto"/>
                <w:kern w:val="0"/>
                <w:sz w:val="28"/>
                <w:szCs w:val="28"/>
                <w:highlight w:val="none"/>
                <w:u w:val="none"/>
                <w:lang w:val="en-US" w:eastAsia="zh-CN" w:bidi="ar"/>
              </w:rPr>
              <w:t>二星：30%-70%；</w:t>
            </w:r>
            <w:r>
              <w:rPr>
                <w:rFonts w:hint="eastAsia" w:ascii="Times New Roman" w:hAnsi="Times New Roman" w:eastAsia="楷体" w:cs="楷体"/>
                <w:i w:val="0"/>
                <w:iCs w:val="0"/>
                <w:color w:val="auto"/>
                <w:kern w:val="0"/>
                <w:sz w:val="28"/>
                <w:szCs w:val="28"/>
                <w:highlight w:val="none"/>
                <w:u w:val="none"/>
                <w:lang w:val="en-US" w:eastAsia="zh-CN" w:bidi="ar"/>
              </w:rPr>
              <w:br w:type="textWrapping"/>
            </w:r>
            <w:r>
              <w:rPr>
                <w:rFonts w:hint="eastAsia" w:ascii="Times New Roman" w:hAnsi="Times New Roman" w:eastAsia="楷体" w:cs="楷体"/>
                <w:i w:val="0"/>
                <w:iCs w:val="0"/>
                <w:color w:val="auto"/>
                <w:kern w:val="0"/>
                <w:sz w:val="28"/>
                <w:szCs w:val="28"/>
                <w:highlight w:val="none"/>
                <w:u w:val="none"/>
                <w:lang w:val="en-US" w:eastAsia="zh-CN" w:bidi="ar"/>
              </w:rPr>
              <w:t>一星：70%-100%。</w:t>
            </w:r>
          </w:p>
        </w:tc>
        <w:tc>
          <w:tcPr>
            <w:tcW w:w="2250" w:type="dxa"/>
            <w:tcBorders>
              <w:top w:val="nil"/>
              <w:left w:val="single" w:color="000000" w:sz="8" w:space="0"/>
              <w:bottom w:val="single" w:color="000000" w:sz="8" w:space="0"/>
              <w:right w:val="single" w:color="000000" w:sz="8" w:space="0"/>
            </w:tcBorders>
            <w:vAlign w:val="center"/>
          </w:tcPr>
          <w:p w14:paraId="2444179C">
            <w:pPr>
              <w:keepNext w:val="0"/>
              <w:keepLines w:val="0"/>
              <w:widowControl/>
              <w:suppressLineNumbers w:val="0"/>
              <w:jc w:val="center"/>
              <w:textAlignment w:val="center"/>
              <w:rPr>
                <w:rFonts w:hint="eastAsia" w:ascii="Times New Roman" w:hAnsi="Times New Roman" w:eastAsia="楷体" w:cs="楷体"/>
                <w:i w:val="0"/>
                <w:iCs w:val="0"/>
                <w:color w:val="auto"/>
                <w:sz w:val="28"/>
                <w:szCs w:val="28"/>
                <w:highlight w:val="none"/>
                <w:u w:val="none"/>
              </w:rPr>
            </w:pPr>
            <w:r>
              <w:rPr>
                <w:rFonts w:hint="eastAsia" w:ascii="Times New Roman" w:hAnsi="Times New Roman" w:eastAsia="楷体" w:cs="楷体"/>
                <w:i w:val="0"/>
                <w:iCs w:val="0"/>
                <w:color w:val="auto"/>
                <w:kern w:val="0"/>
                <w:sz w:val="28"/>
                <w:szCs w:val="28"/>
                <w:highlight w:val="none"/>
                <w:u w:val="none"/>
                <w:lang w:val="en-US" w:eastAsia="zh-CN" w:bidi="ar"/>
              </w:rPr>
              <w:t>0.3元/千瓦时</w:t>
            </w:r>
          </w:p>
        </w:tc>
        <w:tc>
          <w:tcPr>
            <w:tcW w:w="2250" w:type="dxa"/>
            <w:vMerge w:val="restart"/>
            <w:tcBorders>
              <w:top w:val="nil"/>
              <w:left w:val="single" w:color="000000" w:sz="8" w:space="0"/>
              <w:right w:val="single" w:color="000000" w:sz="8" w:space="0"/>
            </w:tcBorders>
            <w:vAlign w:val="center"/>
          </w:tcPr>
          <w:p w14:paraId="32199AC2">
            <w:pPr>
              <w:keepNext w:val="0"/>
              <w:keepLines w:val="0"/>
              <w:widowControl/>
              <w:suppressLineNumbers w:val="0"/>
              <w:jc w:val="center"/>
              <w:textAlignment w:val="center"/>
              <w:rPr>
                <w:rFonts w:hint="eastAsia" w:ascii="Times New Roman" w:hAnsi="Times New Roman" w:eastAsia="楷体" w:cs="楷体"/>
                <w:i w:val="0"/>
                <w:iCs w:val="0"/>
                <w:color w:val="auto"/>
                <w:kern w:val="0"/>
                <w:sz w:val="28"/>
                <w:szCs w:val="28"/>
                <w:highlight w:val="none"/>
                <w:u w:val="none"/>
                <w:lang w:val="en-US" w:eastAsia="zh-CN" w:bidi="ar"/>
              </w:rPr>
            </w:pPr>
            <w:r>
              <w:rPr>
                <w:rFonts w:hint="eastAsia" w:ascii="Times New Roman" w:hAnsi="Times New Roman" w:eastAsia="楷体" w:cs="楷体"/>
                <w:i w:val="0"/>
                <w:iCs w:val="0"/>
                <w:color w:val="auto"/>
                <w:kern w:val="0"/>
                <w:sz w:val="28"/>
                <w:szCs w:val="28"/>
                <w:highlight w:val="none"/>
                <w:u w:val="none"/>
                <w:lang w:val="en-US" w:eastAsia="zh-CN" w:bidi="ar"/>
              </w:rPr>
              <w:t>1000千瓦时/千瓦·年</w:t>
            </w:r>
          </w:p>
        </w:tc>
      </w:tr>
      <w:tr w14:paraId="254E8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1848" w:type="dxa"/>
            <w:vMerge w:val="continue"/>
            <w:tcBorders>
              <w:top w:val="single" w:color="000000" w:sz="4" w:space="0"/>
              <w:left w:val="single" w:color="000000" w:sz="4" w:space="0"/>
              <w:bottom w:val="single" w:color="000000" w:sz="4" w:space="0"/>
              <w:right w:val="single" w:color="000000" w:sz="4" w:space="0"/>
            </w:tcBorders>
            <w:vAlign w:val="center"/>
          </w:tcPr>
          <w:p w14:paraId="6DAA1E67">
            <w:pPr>
              <w:jc w:val="center"/>
              <w:rPr>
                <w:rFonts w:hint="eastAsia" w:ascii="Times New Roman" w:hAnsi="Times New Roman" w:eastAsia="楷体" w:cs="楷体"/>
                <w:i w:val="0"/>
                <w:iCs w:val="0"/>
                <w:color w:val="auto"/>
                <w:sz w:val="28"/>
                <w:szCs w:val="28"/>
                <w:highlight w:val="none"/>
                <w:u w:val="none"/>
              </w:rPr>
            </w:pPr>
          </w:p>
        </w:tc>
        <w:tc>
          <w:tcPr>
            <w:tcW w:w="1811" w:type="dxa"/>
            <w:tcBorders>
              <w:top w:val="nil"/>
              <w:left w:val="nil"/>
              <w:bottom w:val="single" w:color="000000" w:sz="8" w:space="0"/>
              <w:right w:val="single" w:color="000000" w:sz="8" w:space="0"/>
            </w:tcBorders>
            <w:vAlign w:val="center"/>
          </w:tcPr>
          <w:p w14:paraId="6A8C2E9D">
            <w:pPr>
              <w:keepNext w:val="0"/>
              <w:keepLines w:val="0"/>
              <w:widowControl/>
              <w:suppressLineNumbers w:val="0"/>
              <w:jc w:val="center"/>
              <w:textAlignment w:val="center"/>
              <w:rPr>
                <w:rFonts w:hint="eastAsia" w:ascii="Times New Roman" w:hAnsi="Times New Roman" w:eastAsia="楷体" w:cs="楷体"/>
                <w:i w:val="0"/>
                <w:iCs w:val="0"/>
                <w:color w:val="auto"/>
                <w:sz w:val="28"/>
                <w:szCs w:val="28"/>
                <w:highlight w:val="none"/>
                <w:u w:val="none"/>
              </w:rPr>
            </w:pPr>
            <w:r>
              <w:rPr>
                <w:rFonts w:hint="eastAsia" w:ascii="Times New Roman" w:hAnsi="Times New Roman" w:eastAsia="楷体" w:cs="楷体"/>
                <w:i w:val="0"/>
                <w:iCs w:val="0"/>
                <w:color w:val="auto"/>
                <w:kern w:val="0"/>
                <w:sz w:val="28"/>
                <w:szCs w:val="28"/>
                <w:highlight w:val="none"/>
                <w:u w:val="none"/>
                <w:lang w:val="en-US" w:eastAsia="zh-CN" w:bidi="ar"/>
              </w:rPr>
              <w:t>二星</w:t>
            </w:r>
          </w:p>
        </w:tc>
        <w:tc>
          <w:tcPr>
            <w:tcW w:w="7159" w:type="dxa"/>
            <w:vMerge w:val="continue"/>
            <w:tcBorders>
              <w:top w:val="nil"/>
              <w:left w:val="single" w:color="000000" w:sz="8" w:space="0"/>
              <w:bottom w:val="single" w:color="000000" w:sz="8" w:space="0"/>
              <w:right w:val="single" w:color="000000" w:sz="8" w:space="0"/>
            </w:tcBorders>
            <w:vAlign w:val="center"/>
          </w:tcPr>
          <w:p w14:paraId="2CA48ACB">
            <w:pPr>
              <w:jc w:val="both"/>
              <w:rPr>
                <w:rFonts w:hint="eastAsia" w:ascii="Times New Roman" w:hAnsi="Times New Roman" w:eastAsia="楷体" w:cs="楷体"/>
                <w:i w:val="0"/>
                <w:iCs w:val="0"/>
                <w:color w:val="auto"/>
                <w:sz w:val="28"/>
                <w:szCs w:val="28"/>
                <w:highlight w:val="none"/>
                <w:u w:val="none"/>
              </w:rPr>
            </w:pPr>
          </w:p>
        </w:tc>
        <w:tc>
          <w:tcPr>
            <w:tcW w:w="2250" w:type="dxa"/>
            <w:tcBorders>
              <w:top w:val="nil"/>
              <w:left w:val="single" w:color="000000" w:sz="8" w:space="0"/>
              <w:bottom w:val="single" w:color="000000" w:sz="8" w:space="0"/>
              <w:right w:val="single" w:color="000000" w:sz="8" w:space="0"/>
            </w:tcBorders>
            <w:vAlign w:val="center"/>
          </w:tcPr>
          <w:p w14:paraId="2832386B">
            <w:pPr>
              <w:keepNext w:val="0"/>
              <w:keepLines w:val="0"/>
              <w:widowControl/>
              <w:suppressLineNumbers w:val="0"/>
              <w:jc w:val="center"/>
              <w:textAlignment w:val="center"/>
              <w:rPr>
                <w:rFonts w:hint="eastAsia" w:ascii="Times New Roman" w:hAnsi="Times New Roman" w:eastAsia="楷体" w:cs="楷体"/>
                <w:i w:val="0"/>
                <w:iCs w:val="0"/>
                <w:color w:val="auto"/>
                <w:sz w:val="28"/>
                <w:szCs w:val="28"/>
                <w:highlight w:val="none"/>
                <w:u w:val="none"/>
              </w:rPr>
            </w:pPr>
            <w:r>
              <w:rPr>
                <w:rFonts w:hint="eastAsia" w:ascii="Times New Roman" w:hAnsi="Times New Roman" w:eastAsia="楷体" w:cs="楷体"/>
                <w:i w:val="0"/>
                <w:iCs w:val="0"/>
                <w:color w:val="auto"/>
                <w:kern w:val="0"/>
                <w:sz w:val="28"/>
                <w:szCs w:val="28"/>
                <w:highlight w:val="none"/>
                <w:u w:val="none"/>
                <w:lang w:val="en-US" w:eastAsia="zh-CN" w:bidi="ar"/>
              </w:rPr>
              <w:t>0.2元/千瓦时</w:t>
            </w:r>
          </w:p>
        </w:tc>
        <w:tc>
          <w:tcPr>
            <w:tcW w:w="2250" w:type="dxa"/>
            <w:vMerge w:val="continue"/>
            <w:tcBorders>
              <w:left w:val="single" w:color="000000" w:sz="8" w:space="0"/>
              <w:right w:val="single" w:color="000000" w:sz="8" w:space="0"/>
            </w:tcBorders>
            <w:vAlign w:val="center"/>
          </w:tcPr>
          <w:p w14:paraId="21148545">
            <w:pPr>
              <w:keepNext w:val="0"/>
              <w:keepLines w:val="0"/>
              <w:widowControl/>
              <w:suppressLineNumbers w:val="0"/>
              <w:jc w:val="center"/>
              <w:textAlignment w:val="center"/>
              <w:rPr>
                <w:rFonts w:hint="eastAsia" w:ascii="Times New Roman" w:hAnsi="Times New Roman" w:eastAsia="楷体" w:cs="楷体"/>
                <w:i w:val="0"/>
                <w:iCs w:val="0"/>
                <w:color w:val="auto"/>
                <w:kern w:val="0"/>
                <w:sz w:val="28"/>
                <w:szCs w:val="28"/>
                <w:highlight w:val="none"/>
                <w:u w:val="none"/>
                <w:lang w:val="en-US" w:eastAsia="zh-CN" w:bidi="ar"/>
              </w:rPr>
            </w:pPr>
          </w:p>
        </w:tc>
      </w:tr>
      <w:tr w14:paraId="0C048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jc w:val="center"/>
        </w:trPr>
        <w:tc>
          <w:tcPr>
            <w:tcW w:w="1848" w:type="dxa"/>
            <w:vMerge w:val="continue"/>
            <w:tcBorders>
              <w:top w:val="single" w:color="000000" w:sz="4" w:space="0"/>
              <w:left w:val="single" w:color="000000" w:sz="4" w:space="0"/>
              <w:bottom w:val="single" w:color="000000" w:sz="4" w:space="0"/>
              <w:right w:val="single" w:color="000000" w:sz="4" w:space="0"/>
            </w:tcBorders>
            <w:vAlign w:val="center"/>
          </w:tcPr>
          <w:p w14:paraId="7E8C228E">
            <w:pPr>
              <w:jc w:val="center"/>
              <w:rPr>
                <w:rFonts w:hint="eastAsia" w:ascii="Times New Roman" w:hAnsi="Times New Roman" w:eastAsia="楷体" w:cs="楷体"/>
                <w:i w:val="0"/>
                <w:iCs w:val="0"/>
                <w:color w:val="auto"/>
                <w:sz w:val="28"/>
                <w:szCs w:val="28"/>
                <w:highlight w:val="none"/>
                <w:u w:val="none"/>
              </w:rPr>
            </w:pPr>
          </w:p>
        </w:tc>
        <w:tc>
          <w:tcPr>
            <w:tcW w:w="1811" w:type="dxa"/>
            <w:tcBorders>
              <w:top w:val="nil"/>
              <w:left w:val="nil"/>
              <w:bottom w:val="single" w:color="000000" w:sz="8" w:space="0"/>
              <w:right w:val="single" w:color="000000" w:sz="8" w:space="0"/>
            </w:tcBorders>
            <w:vAlign w:val="center"/>
          </w:tcPr>
          <w:p w14:paraId="1FF08FB6">
            <w:pPr>
              <w:keepNext w:val="0"/>
              <w:keepLines w:val="0"/>
              <w:widowControl/>
              <w:suppressLineNumbers w:val="0"/>
              <w:jc w:val="center"/>
              <w:textAlignment w:val="center"/>
              <w:rPr>
                <w:rFonts w:hint="eastAsia" w:ascii="Times New Roman" w:hAnsi="Times New Roman" w:eastAsia="楷体" w:cs="楷体"/>
                <w:i w:val="0"/>
                <w:iCs w:val="0"/>
                <w:color w:val="auto"/>
                <w:sz w:val="28"/>
                <w:szCs w:val="28"/>
                <w:highlight w:val="none"/>
                <w:u w:val="none"/>
              </w:rPr>
            </w:pPr>
            <w:r>
              <w:rPr>
                <w:rFonts w:hint="eastAsia" w:ascii="Times New Roman" w:hAnsi="Times New Roman" w:eastAsia="楷体" w:cs="楷体"/>
                <w:i w:val="0"/>
                <w:iCs w:val="0"/>
                <w:color w:val="auto"/>
                <w:kern w:val="0"/>
                <w:sz w:val="28"/>
                <w:szCs w:val="28"/>
                <w:highlight w:val="none"/>
                <w:u w:val="none"/>
                <w:lang w:val="en-US" w:eastAsia="zh-CN" w:bidi="ar"/>
              </w:rPr>
              <w:t>一星</w:t>
            </w:r>
          </w:p>
        </w:tc>
        <w:tc>
          <w:tcPr>
            <w:tcW w:w="7159" w:type="dxa"/>
            <w:vMerge w:val="continue"/>
            <w:tcBorders>
              <w:top w:val="nil"/>
              <w:left w:val="single" w:color="000000" w:sz="8" w:space="0"/>
              <w:bottom w:val="single" w:color="000000" w:sz="8" w:space="0"/>
              <w:right w:val="single" w:color="000000" w:sz="8" w:space="0"/>
            </w:tcBorders>
            <w:vAlign w:val="center"/>
          </w:tcPr>
          <w:p w14:paraId="2BC4DE75">
            <w:pPr>
              <w:jc w:val="both"/>
              <w:rPr>
                <w:rFonts w:hint="eastAsia" w:ascii="Times New Roman" w:hAnsi="Times New Roman" w:eastAsia="楷体" w:cs="楷体"/>
                <w:i w:val="0"/>
                <w:iCs w:val="0"/>
                <w:color w:val="auto"/>
                <w:sz w:val="28"/>
                <w:szCs w:val="28"/>
                <w:highlight w:val="none"/>
                <w:u w:val="none"/>
              </w:rPr>
            </w:pPr>
          </w:p>
        </w:tc>
        <w:tc>
          <w:tcPr>
            <w:tcW w:w="2250" w:type="dxa"/>
            <w:tcBorders>
              <w:top w:val="nil"/>
              <w:left w:val="single" w:color="000000" w:sz="8" w:space="0"/>
              <w:bottom w:val="single" w:color="000000" w:sz="8" w:space="0"/>
              <w:right w:val="single" w:color="000000" w:sz="8" w:space="0"/>
            </w:tcBorders>
            <w:vAlign w:val="center"/>
          </w:tcPr>
          <w:p w14:paraId="392A0756">
            <w:pPr>
              <w:keepNext w:val="0"/>
              <w:keepLines w:val="0"/>
              <w:widowControl/>
              <w:suppressLineNumbers w:val="0"/>
              <w:jc w:val="center"/>
              <w:textAlignment w:val="center"/>
              <w:rPr>
                <w:rFonts w:hint="eastAsia" w:ascii="Times New Roman" w:hAnsi="Times New Roman" w:eastAsia="楷体" w:cs="楷体"/>
                <w:i w:val="0"/>
                <w:iCs w:val="0"/>
                <w:color w:val="auto"/>
                <w:sz w:val="28"/>
                <w:szCs w:val="28"/>
                <w:highlight w:val="none"/>
                <w:u w:val="none"/>
              </w:rPr>
            </w:pPr>
            <w:r>
              <w:rPr>
                <w:rFonts w:hint="eastAsia" w:ascii="Times New Roman" w:hAnsi="Times New Roman" w:eastAsia="楷体" w:cs="楷体"/>
                <w:i w:val="0"/>
                <w:iCs w:val="0"/>
                <w:color w:val="auto"/>
                <w:kern w:val="0"/>
                <w:sz w:val="28"/>
                <w:szCs w:val="28"/>
                <w:highlight w:val="none"/>
                <w:u w:val="none"/>
                <w:lang w:val="en-US" w:eastAsia="zh-CN" w:bidi="ar"/>
              </w:rPr>
              <w:t>0.1元/千瓦时</w:t>
            </w:r>
          </w:p>
        </w:tc>
        <w:tc>
          <w:tcPr>
            <w:tcW w:w="2250" w:type="dxa"/>
            <w:vMerge w:val="continue"/>
            <w:tcBorders>
              <w:left w:val="single" w:color="000000" w:sz="8" w:space="0"/>
              <w:bottom w:val="single" w:color="000000" w:sz="8" w:space="0"/>
              <w:right w:val="single" w:color="000000" w:sz="8" w:space="0"/>
            </w:tcBorders>
            <w:vAlign w:val="center"/>
          </w:tcPr>
          <w:p w14:paraId="23F8C3B3">
            <w:pPr>
              <w:keepNext w:val="0"/>
              <w:keepLines w:val="0"/>
              <w:widowControl/>
              <w:suppressLineNumbers w:val="0"/>
              <w:jc w:val="center"/>
              <w:textAlignment w:val="center"/>
              <w:rPr>
                <w:rFonts w:hint="eastAsia" w:ascii="Times New Roman" w:hAnsi="Times New Roman" w:eastAsia="楷体" w:cs="楷体"/>
                <w:i w:val="0"/>
                <w:iCs w:val="0"/>
                <w:color w:val="auto"/>
                <w:kern w:val="0"/>
                <w:sz w:val="28"/>
                <w:szCs w:val="28"/>
                <w:highlight w:val="none"/>
                <w:u w:val="none"/>
                <w:lang w:val="en-US" w:eastAsia="zh-CN" w:bidi="ar"/>
              </w:rPr>
            </w:pPr>
          </w:p>
        </w:tc>
      </w:tr>
      <w:tr w14:paraId="7DFCE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2" w:hRule="atLeast"/>
          <w:jc w:val="center"/>
        </w:trPr>
        <w:tc>
          <w:tcPr>
            <w:tcW w:w="1848" w:type="dxa"/>
            <w:vMerge w:val="continue"/>
            <w:tcBorders>
              <w:top w:val="single" w:color="000000" w:sz="4" w:space="0"/>
              <w:left w:val="single" w:color="000000" w:sz="4" w:space="0"/>
              <w:bottom w:val="single" w:color="000000" w:sz="4" w:space="0"/>
              <w:right w:val="single" w:color="000000" w:sz="4" w:space="0"/>
            </w:tcBorders>
            <w:vAlign w:val="center"/>
          </w:tcPr>
          <w:p w14:paraId="517D7B51">
            <w:pPr>
              <w:jc w:val="center"/>
              <w:rPr>
                <w:rFonts w:hint="eastAsia" w:ascii="Times New Roman" w:hAnsi="Times New Roman" w:eastAsia="楷体" w:cs="楷体"/>
                <w:i w:val="0"/>
                <w:iCs w:val="0"/>
                <w:color w:val="auto"/>
                <w:sz w:val="28"/>
                <w:szCs w:val="28"/>
                <w:highlight w:val="none"/>
                <w:u w:val="none"/>
              </w:rPr>
            </w:pPr>
          </w:p>
        </w:tc>
        <w:tc>
          <w:tcPr>
            <w:tcW w:w="1811" w:type="dxa"/>
            <w:tcBorders>
              <w:top w:val="nil"/>
              <w:left w:val="nil"/>
              <w:bottom w:val="single" w:color="000000" w:sz="8" w:space="0"/>
              <w:right w:val="single" w:color="000000" w:sz="8" w:space="0"/>
            </w:tcBorders>
            <w:vAlign w:val="center"/>
          </w:tcPr>
          <w:p w14:paraId="43122CA1">
            <w:pPr>
              <w:keepNext w:val="0"/>
              <w:keepLines w:val="0"/>
              <w:widowControl/>
              <w:suppressLineNumbers w:val="0"/>
              <w:jc w:val="center"/>
              <w:textAlignment w:val="center"/>
              <w:rPr>
                <w:rFonts w:hint="eastAsia" w:ascii="Times New Roman" w:hAnsi="Times New Roman" w:eastAsia="楷体" w:cs="楷体"/>
                <w:i w:val="0"/>
                <w:iCs w:val="0"/>
                <w:color w:val="auto"/>
                <w:sz w:val="28"/>
                <w:szCs w:val="28"/>
                <w:highlight w:val="none"/>
                <w:u w:val="none"/>
              </w:rPr>
            </w:pPr>
            <w:r>
              <w:rPr>
                <w:rFonts w:hint="eastAsia" w:ascii="Times New Roman" w:hAnsi="Times New Roman" w:eastAsia="楷体" w:cs="楷体"/>
                <w:i w:val="0"/>
                <w:iCs w:val="0"/>
                <w:color w:val="auto"/>
                <w:kern w:val="0"/>
                <w:sz w:val="28"/>
                <w:szCs w:val="28"/>
                <w:highlight w:val="none"/>
                <w:u w:val="none"/>
                <w:lang w:val="en-US" w:eastAsia="zh-CN" w:bidi="ar"/>
              </w:rPr>
              <w:t>不合格</w:t>
            </w:r>
          </w:p>
        </w:tc>
        <w:tc>
          <w:tcPr>
            <w:tcW w:w="7159" w:type="dxa"/>
            <w:tcBorders>
              <w:top w:val="nil"/>
              <w:left w:val="single" w:color="000000" w:sz="8" w:space="0"/>
              <w:bottom w:val="single" w:color="000000" w:sz="8" w:space="0"/>
              <w:right w:val="single" w:color="000000" w:sz="8" w:space="0"/>
            </w:tcBorders>
            <w:vAlign w:val="center"/>
          </w:tcPr>
          <w:p w14:paraId="5A9F12F4">
            <w:pPr>
              <w:keepNext w:val="0"/>
              <w:keepLines w:val="0"/>
              <w:widowControl/>
              <w:suppressLineNumbers w:val="0"/>
              <w:jc w:val="both"/>
              <w:textAlignment w:val="center"/>
              <w:rPr>
                <w:rFonts w:hint="eastAsia" w:ascii="Times New Roman" w:hAnsi="Times New Roman" w:eastAsia="楷体" w:cs="楷体"/>
                <w:i w:val="0"/>
                <w:iCs w:val="0"/>
                <w:color w:val="auto"/>
                <w:sz w:val="28"/>
                <w:szCs w:val="28"/>
                <w:highlight w:val="none"/>
                <w:u w:val="none"/>
              </w:rPr>
            </w:pPr>
            <w:r>
              <w:rPr>
                <w:rFonts w:hint="eastAsia" w:ascii="Times New Roman" w:hAnsi="Times New Roman" w:eastAsia="楷体" w:cs="楷体"/>
                <w:i w:val="0"/>
                <w:iCs w:val="0"/>
                <w:color w:val="auto"/>
                <w:kern w:val="0"/>
                <w:sz w:val="28"/>
                <w:szCs w:val="28"/>
                <w:highlight w:val="none"/>
                <w:u w:val="none"/>
                <w:lang w:val="en-US" w:eastAsia="zh-CN" w:bidi="ar"/>
              </w:rPr>
              <w:t>＜60分，或存在以下情况的站点，取消该站点本年度申报资格：</w:t>
            </w:r>
            <w:r>
              <w:rPr>
                <w:rFonts w:hint="eastAsia" w:ascii="Times New Roman" w:hAnsi="Times New Roman" w:eastAsia="楷体" w:cs="楷体"/>
                <w:i w:val="0"/>
                <w:iCs w:val="0"/>
                <w:color w:val="auto"/>
                <w:kern w:val="0"/>
                <w:sz w:val="28"/>
                <w:szCs w:val="28"/>
                <w:highlight w:val="none"/>
                <w:u w:val="none"/>
                <w:lang w:val="en-US" w:eastAsia="zh-CN" w:bidi="ar"/>
              </w:rPr>
              <w:br w:type="textWrapping"/>
            </w:r>
            <w:r>
              <w:rPr>
                <w:rFonts w:hint="eastAsia" w:ascii="Times New Roman" w:hAnsi="Times New Roman" w:eastAsia="楷体" w:cs="楷体"/>
                <w:i w:val="0"/>
                <w:iCs w:val="0"/>
                <w:color w:val="auto"/>
                <w:kern w:val="0"/>
                <w:sz w:val="28"/>
                <w:szCs w:val="28"/>
                <w:highlight w:val="none"/>
                <w:u w:val="none"/>
                <w:lang w:val="en-US" w:eastAsia="zh-CN" w:bidi="ar"/>
              </w:rPr>
              <w:t>1、其所运营的站点出现因站点设施导致人员伤亡或财产损失的事故；</w:t>
            </w:r>
            <w:r>
              <w:rPr>
                <w:rFonts w:hint="eastAsia" w:ascii="Times New Roman" w:hAnsi="Times New Roman" w:eastAsia="楷体" w:cs="楷体"/>
                <w:i w:val="0"/>
                <w:iCs w:val="0"/>
                <w:color w:val="auto"/>
                <w:kern w:val="0"/>
                <w:sz w:val="28"/>
                <w:szCs w:val="28"/>
                <w:highlight w:val="none"/>
                <w:u w:val="none"/>
                <w:lang w:val="en-US" w:eastAsia="zh-CN" w:bidi="ar"/>
              </w:rPr>
              <w:br w:type="textWrapping"/>
            </w:r>
            <w:r>
              <w:rPr>
                <w:rFonts w:hint="eastAsia" w:ascii="Times New Roman" w:hAnsi="Times New Roman" w:eastAsia="楷体" w:cs="楷体"/>
                <w:i w:val="0"/>
                <w:iCs w:val="0"/>
                <w:color w:val="auto"/>
                <w:kern w:val="0"/>
                <w:sz w:val="28"/>
                <w:szCs w:val="28"/>
                <w:highlight w:val="none"/>
                <w:u w:val="none"/>
                <w:lang w:val="en-US" w:eastAsia="zh-CN" w:bidi="ar"/>
              </w:rPr>
              <w:t>2、经核实出现两次及以上大规模负面舆情事件；</w:t>
            </w:r>
            <w:r>
              <w:rPr>
                <w:rFonts w:hint="eastAsia" w:ascii="Times New Roman" w:hAnsi="Times New Roman" w:eastAsia="楷体" w:cs="楷体"/>
                <w:i w:val="0"/>
                <w:iCs w:val="0"/>
                <w:color w:val="auto"/>
                <w:kern w:val="0"/>
                <w:sz w:val="28"/>
                <w:szCs w:val="28"/>
                <w:highlight w:val="none"/>
                <w:u w:val="none"/>
                <w:lang w:val="en-US" w:eastAsia="zh-CN" w:bidi="ar"/>
              </w:rPr>
              <w:br w:type="textWrapping"/>
            </w:r>
            <w:r>
              <w:rPr>
                <w:rFonts w:hint="eastAsia" w:ascii="Times New Roman" w:hAnsi="Times New Roman" w:eastAsia="楷体" w:cs="楷体"/>
                <w:i w:val="0"/>
                <w:iCs w:val="0"/>
                <w:color w:val="auto"/>
                <w:kern w:val="0"/>
                <w:sz w:val="28"/>
                <w:szCs w:val="28"/>
                <w:highlight w:val="none"/>
                <w:u w:val="none"/>
                <w:lang w:val="en-US" w:eastAsia="zh-CN" w:bidi="ar"/>
              </w:rPr>
              <w:t>3、未完成一张网接入。</w:t>
            </w:r>
          </w:p>
        </w:tc>
        <w:tc>
          <w:tcPr>
            <w:tcW w:w="2250" w:type="dxa"/>
            <w:tcBorders>
              <w:top w:val="nil"/>
              <w:left w:val="single" w:color="000000" w:sz="8" w:space="0"/>
              <w:bottom w:val="single" w:color="000000" w:sz="8" w:space="0"/>
              <w:right w:val="single" w:color="000000" w:sz="8" w:space="0"/>
            </w:tcBorders>
            <w:vAlign w:val="center"/>
          </w:tcPr>
          <w:p w14:paraId="46D7C3E6">
            <w:pPr>
              <w:keepNext w:val="0"/>
              <w:keepLines w:val="0"/>
              <w:widowControl/>
              <w:suppressLineNumbers w:val="0"/>
              <w:jc w:val="center"/>
              <w:textAlignment w:val="center"/>
              <w:rPr>
                <w:rFonts w:hint="eastAsia" w:ascii="Times New Roman" w:hAnsi="Times New Roman" w:eastAsia="楷体" w:cs="楷体"/>
                <w:i w:val="0"/>
                <w:iCs w:val="0"/>
                <w:color w:val="auto"/>
                <w:sz w:val="28"/>
                <w:szCs w:val="28"/>
                <w:highlight w:val="none"/>
                <w:u w:val="none"/>
              </w:rPr>
            </w:pPr>
            <w:r>
              <w:rPr>
                <w:rFonts w:hint="eastAsia" w:ascii="Times New Roman" w:hAnsi="Times New Roman" w:eastAsia="楷体" w:cs="楷体"/>
                <w:i w:val="0"/>
                <w:iCs w:val="0"/>
                <w:color w:val="auto"/>
                <w:kern w:val="0"/>
                <w:sz w:val="28"/>
                <w:szCs w:val="28"/>
                <w:highlight w:val="none"/>
                <w:u w:val="none"/>
                <w:lang w:val="en-US" w:eastAsia="zh-CN" w:bidi="ar"/>
              </w:rPr>
              <w:t>——</w:t>
            </w:r>
          </w:p>
        </w:tc>
        <w:tc>
          <w:tcPr>
            <w:tcW w:w="2250" w:type="dxa"/>
            <w:tcBorders>
              <w:top w:val="nil"/>
              <w:left w:val="single" w:color="000000" w:sz="8" w:space="0"/>
              <w:bottom w:val="single" w:color="000000" w:sz="8" w:space="0"/>
              <w:right w:val="single" w:color="000000" w:sz="8" w:space="0"/>
            </w:tcBorders>
            <w:vAlign w:val="center"/>
          </w:tcPr>
          <w:p w14:paraId="4C6A59C0">
            <w:pPr>
              <w:keepNext w:val="0"/>
              <w:keepLines w:val="0"/>
              <w:widowControl/>
              <w:suppressLineNumbers w:val="0"/>
              <w:jc w:val="center"/>
              <w:textAlignment w:val="center"/>
              <w:rPr>
                <w:rFonts w:hint="eastAsia" w:ascii="Times New Roman" w:hAnsi="Times New Roman" w:eastAsia="楷体" w:cs="楷体"/>
                <w:i w:val="0"/>
                <w:iCs w:val="0"/>
                <w:color w:val="auto"/>
                <w:kern w:val="0"/>
                <w:sz w:val="28"/>
                <w:szCs w:val="28"/>
                <w:highlight w:val="none"/>
                <w:u w:val="none"/>
                <w:lang w:val="en-US" w:eastAsia="zh-CN" w:bidi="ar"/>
              </w:rPr>
            </w:pPr>
          </w:p>
        </w:tc>
      </w:tr>
    </w:tbl>
    <w:p w14:paraId="4FFF02FB">
      <w:pPr>
        <w:ind w:left="0" w:right="0" w:firstLine="643"/>
        <w:rPr>
          <w:rFonts w:hint="default" w:ascii="Times New Roman" w:hAnsi="Times New Roman" w:cs="宋体"/>
          <w:color w:val="auto"/>
          <w:highlight w:val="none"/>
          <w:lang w:val="en-US" w:eastAsia="zh-CN"/>
        </w:rPr>
        <w:sectPr>
          <w:footnotePr>
            <w:pos w:val="beneathText"/>
            <w:numFmt w:val="decimal"/>
          </w:footnotePr>
          <w:pgSz w:w="16838" w:h="11906" w:orient="landscape"/>
          <w:pgMar w:top="720" w:right="720" w:bottom="720" w:left="720" w:header="850" w:footer="1588" w:gutter="0"/>
          <w:pgBorders>
            <w:top w:val="none" w:sz="0" w:space="0"/>
            <w:left w:val="none" w:sz="0" w:space="0"/>
            <w:bottom w:val="none" w:sz="0" w:space="0"/>
            <w:right w:val="none" w:sz="0" w:space="0"/>
          </w:pgBorders>
          <w:pgNumType w:fmt="decimal" w:start="1"/>
          <w:cols w:space="720" w:num="1"/>
          <w:docGrid w:type="lines" w:linePitch="574" w:charSpace="-1844"/>
        </w:sectPr>
      </w:pPr>
    </w:p>
    <w:p w14:paraId="3D3461D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楷体" w:cs="楷体"/>
          <w:b w:val="0"/>
          <w:bCs w:val="0"/>
          <w:color w:val="auto"/>
          <w:kern w:val="2"/>
          <w:sz w:val="28"/>
          <w:szCs w:val="28"/>
          <w:highlight w:val="none"/>
          <w:lang w:val="en-US" w:eastAsia="zh-CN" w:bidi="ar-SA"/>
        </w:rPr>
      </w:pPr>
      <w:r>
        <w:rPr>
          <w:rFonts w:hint="eastAsia" w:ascii="Times New Roman" w:hAnsi="Times New Roman" w:eastAsia="楷体" w:cs="楷体"/>
          <w:b w:val="0"/>
          <w:bCs w:val="0"/>
          <w:color w:val="auto"/>
          <w:kern w:val="2"/>
          <w:sz w:val="28"/>
          <w:szCs w:val="28"/>
          <w:highlight w:val="none"/>
          <w:lang w:val="en-US" w:eastAsia="zh-CN" w:bidi="ar-SA"/>
        </w:rPr>
        <w:t>注：1.城际交通快速充电站项目站址定位以经纬度坐标为准。</w:t>
      </w:r>
    </w:p>
    <w:p w14:paraId="7B5BDCA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 w:cs="楷体"/>
          <w:b w:val="0"/>
          <w:bCs w:val="0"/>
          <w:color w:val="auto"/>
          <w:kern w:val="2"/>
          <w:sz w:val="28"/>
          <w:szCs w:val="28"/>
          <w:highlight w:val="none"/>
          <w:lang w:val="en-US" w:eastAsia="zh-CN" w:bidi="ar-SA"/>
        </w:rPr>
      </w:pPr>
      <w:r>
        <w:rPr>
          <w:rFonts w:hint="eastAsia" w:ascii="Times New Roman" w:hAnsi="Times New Roman" w:eastAsia="楷体" w:cs="楷体"/>
          <w:b w:val="0"/>
          <w:bCs w:val="0"/>
          <w:color w:val="auto"/>
          <w:kern w:val="2"/>
          <w:sz w:val="28"/>
          <w:szCs w:val="28"/>
          <w:highlight w:val="none"/>
          <w:lang w:val="en-US" w:eastAsia="zh-CN" w:bidi="ar-SA"/>
        </w:rPr>
        <w:t>2.对支持共享充电站建设的居民小区业主大会或全体业主给予的补贴，由该小区充电站建设单位统一申报，并在合作协议中明确补贴资金分配情况。补贴资金下达后严格履行协议内容。</w:t>
      </w:r>
    </w:p>
    <w:p w14:paraId="0A1C5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 w:cs="楷体"/>
          <w:b w:val="0"/>
          <w:bCs w:val="0"/>
          <w:color w:val="auto"/>
          <w:kern w:val="2"/>
          <w:sz w:val="28"/>
          <w:szCs w:val="28"/>
          <w:highlight w:val="none"/>
          <w:lang w:val="en-US" w:eastAsia="zh-CN" w:bidi="ar-SA"/>
        </w:rPr>
      </w:pPr>
      <w:r>
        <w:rPr>
          <w:rFonts w:hint="eastAsia" w:ascii="Times New Roman" w:hAnsi="Times New Roman" w:eastAsia="楷体" w:cs="楷体"/>
          <w:b w:val="0"/>
          <w:bCs w:val="0"/>
          <w:color w:val="auto"/>
          <w:kern w:val="2"/>
          <w:sz w:val="28"/>
          <w:szCs w:val="28"/>
          <w:highlight w:val="none"/>
          <w:lang w:val="en-US" w:eastAsia="zh-CN" w:bidi="ar-SA"/>
        </w:rPr>
        <w:t>3.智能有序充电设备是指具有智能控制功能和充电速度控制管理系统的设备，可通过智能化手段，依据电网负荷状况、充电需求、电价等因素，对充电桩进行优化调度，实现充电桩的高效利用和电网的平滑运行。</w:t>
      </w:r>
    </w:p>
    <w:p w14:paraId="26AD92D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 w:cs="楷体"/>
          <w:b w:val="0"/>
          <w:bCs w:val="0"/>
          <w:color w:val="auto"/>
          <w:kern w:val="2"/>
          <w:sz w:val="28"/>
          <w:szCs w:val="28"/>
          <w:highlight w:val="none"/>
          <w:lang w:val="en-US" w:eastAsia="zh-CN" w:bidi="ar-SA"/>
        </w:rPr>
      </w:pPr>
      <w:r>
        <w:rPr>
          <w:rFonts w:hint="eastAsia" w:ascii="Times New Roman" w:hAnsi="Times New Roman" w:eastAsia="楷体" w:cs="楷体"/>
          <w:b w:val="0"/>
          <w:bCs w:val="0"/>
          <w:color w:val="auto"/>
          <w:kern w:val="2"/>
          <w:sz w:val="28"/>
          <w:szCs w:val="28"/>
          <w:highlight w:val="none"/>
          <w:lang w:val="en-US" w:eastAsia="zh-CN" w:bidi="ar-SA"/>
        </w:rPr>
        <w:t>4.液冷超充设备按照具备液冷功能的主机功率计算补贴金额，最高不超过设备购置价格20%。</w:t>
      </w:r>
    </w:p>
    <w:p w14:paraId="5CD12BD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 w:cs="楷体"/>
          <w:b w:val="0"/>
          <w:bCs w:val="0"/>
          <w:color w:val="auto"/>
          <w:kern w:val="2"/>
          <w:sz w:val="28"/>
          <w:szCs w:val="28"/>
          <w:highlight w:val="none"/>
          <w:lang w:val="en-US" w:eastAsia="zh-CN" w:bidi="ar-SA"/>
        </w:rPr>
      </w:pPr>
      <w:r>
        <w:rPr>
          <w:rFonts w:hint="eastAsia" w:ascii="Times New Roman" w:hAnsi="Times New Roman" w:eastAsia="楷体" w:cs="楷体"/>
          <w:b w:val="0"/>
          <w:bCs w:val="0"/>
          <w:color w:val="auto"/>
          <w:kern w:val="2"/>
          <w:sz w:val="28"/>
          <w:szCs w:val="28"/>
          <w:highlight w:val="none"/>
          <w:lang w:val="en-US" w:eastAsia="zh-CN" w:bidi="ar-SA"/>
        </w:rPr>
        <w:t>5.专用充电站是指专为党政机关、企（事）业单位、社会团体以及住宅小区等专属停车位建设，为公务车辆、专用车辆、员工车辆、业主车辆等提供充电服务的充电设施。</w:t>
      </w:r>
    </w:p>
    <w:p w14:paraId="6BEC97FF">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仿宋_GB2312" w:cs="Times New Roman"/>
          <w:b/>
          <w:bCs/>
          <w:color w:val="auto"/>
          <w:highlight w:val="none"/>
          <w:lang w:val="en-US" w:eastAsia="zh-CN"/>
        </w:rPr>
      </w:pPr>
      <w:r>
        <w:rPr>
          <w:rFonts w:hint="eastAsia" w:ascii="Times New Roman" w:hAnsi="Times New Roman" w:eastAsia="楷体" w:cs="楷体"/>
          <w:b w:val="0"/>
          <w:bCs w:val="0"/>
          <w:color w:val="auto"/>
          <w:kern w:val="2"/>
          <w:sz w:val="28"/>
          <w:szCs w:val="28"/>
          <w:highlight w:val="none"/>
          <w:lang w:val="en-US" w:eastAsia="zh-CN" w:bidi="ar-SA"/>
        </w:rPr>
        <w:t>6.总分排名相同的场站，按照利用率与可用性、在线率、服务水平、用户反馈逐项计算单项得分后排名，如各项分值均一样，则设为并列名次。</w:t>
      </w:r>
    </w:p>
    <w:p w14:paraId="234EAC3D">
      <w:pPr>
        <w:rPr>
          <w:highlight w:val="none"/>
        </w:rPr>
      </w:pPr>
    </w:p>
    <w:sectPr>
      <w:footnotePr>
        <w:pos w:val="beneathText"/>
        <w:numFmt w:val="decimal"/>
      </w:footnotePr>
      <w:pgSz w:w="16838" w:h="11906" w:orient="landscape"/>
      <w:pgMar w:top="720" w:right="720" w:bottom="720" w:left="720" w:header="850" w:footer="1588" w:gutter="0"/>
      <w:pgBorders>
        <w:top w:val="none" w:sz="0" w:space="0"/>
        <w:left w:val="none" w:sz="0" w:space="0"/>
        <w:bottom w:val="none" w:sz="0" w:space="0"/>
        <w:right w:val="none" w:sz="0" w:space="0"/>
      </w:pgBorders>
      <w:pgNumType w:fmt="decimal" w:start="1"/>
      <w:cols w:space="720" w:num="1"/>
      <w:docGrid w:type="lines" w:linePitch="574"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国标黑体">
    <w:altName w:val="黑体"/>
    <w:panose1 w:val="02000500000000000000"/>
    <w:charset w:val="00"/>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D55B0">
    <w:pPr>
      <w:pStyle w:val="4"/>
      <w:ind w:left="0"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F5CA1D">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DF5CA1D">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pos w:val="beneathText"/>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mMTUzMDhkNjU3YWRmNDVhNDFmMjVhMWJjM2ViNTUifQ=="/>
  </w:docVars>
  <w:rsids>
    <w:rsidRoot w:val="6C3C25B1"/>
    <w:rsid w:val="05692810"/>
    <w:rsid w:val="05CF6F3F"/>
    <w:rsid w:val="09BB0D18"/>
    <w:rsid w:val="0AC91212"/>
    <w:rsid w:val="0D780CCE"/>
    <w:rsid w:val="10C14D88"/>
    <w:rsid w:val="12130C68"/>
    <w:rsid w:val="15A10F61"/>
    <w:rsid w:val="163177EA"/>
    <w:rsid w:val="1B8151F1"/>
    <w:rsid w:val="1F745799"/>
    <w:rsid w:val="23BE3486"/>
    <w:rsid w:val="24155071"/>
    <w:rsid w:val="241B0DEE"/>
    <w:rsid w:val="25C27580"/>
    <w:rsid w:val="28864327"/>
    <w:rsid w:val="2A0C65CE"/>
    <w:rsid w:val="2B671608"/>
    <w:rsid w:val="2EBF47BB"/>
    <w:rsid w:val="30B235CB"/>
    <w:rsid w:val="35514CCE"/>
    <w:rsid w:val="367F7D42"/>
    <w:rsid w:val="36C546D4"/>
    <w:rsid w:val="3845787B"/>
    <w:rsid w:val="388365F5"/>
    <w:rsid w:val="3CBD211A"/>
    <w:rsid w:val="3D8D7433"/>
    <w:rsid w:val="3DCD16FB"/>
    <w:rsid w:val="3DEF7F44"/>
    <w:rsid w:val="3FFBDFA8"/>
    <w:rsid w:val="426023D7"/>
    <w:rsid w:val="44D130DD"/>
    <w:rsid w:val="46820504"/>
    <w:rsid w:val="480037BE"/>
    <w:rsid w:val="48C35FF0"/>
    <w:rsid w:val="4BC82845"/>
    <w:rsid w:val="4C9269AF"/>
    <w:rsid w:val="4E5A52AA"/>
    <w:rsid w:val="5540169E"/>
    <w:rsid w:val="55827601"/>
    <w:rsid w:val="5DF55830"/>
    <w:rsid w:val="614E2F43"/>
    <w:rsid w:val="62993A77"/>
    <w:rsid w:val="63807109"/>
    <w:rsid w:val="6872273D"/>
    <w:rsid w:val="693D530D"/>
    <w:rsid w:val="69D72179"/>
    <w:rsid w:val="6C3C25B1"/>
    <w:rsid w:val="6CBF89C1"/>
    <w:rsid w:val="6CEB9CCB"/>
    <w:rsid w:val="72C07522"/>
    <w:rsid w:val="732764FB"/>
    <w:rsid w:val="73B61816"/>
    <w:rsid w:val="7503583D"/>
    <w:rsid w:val="768014A2"/>
    <w:rsid w:val="76DD59DF"/>
    <w:rsid w:val="7BFE26EC"/>
    <w:rsid w:val="7CA85FD9"/>
    <w:rsid w:val="7CE32FA4"/>
    <w:rsid w:val="7E7B5999"/>
    <w:rsid w:val="7F77104D"/>
    <w:rsid w:val="7FDBF1BD"/>
    <w:rsid w:val="8FFF6902"/>
    <w:rsid w:val="9F7FBF34"/>
    <w:rsid w:val="ACFD1253"/>
    <w:rsid w:val="ADFF5CC0"/>
    <w:rsid w:val="AF2D694E"/>
    <w:rsid w:val="B4B67B5E"/>
    <w:rsid w:val="B767F6E1"/>
    <w:rsid w:val="BBEDFC99"/>
    <w:rsid w:val="BFFFFE6C"/>
    <w:rsid w:val="CFAF8ABC"/>
    <w:rsid w:val="D35EF281"/>
    <w:rsid w:val="DBCB7135"/>
    <w:rsid w:val="DCFE037D"/>
    <w:rsid w:val="DFE7D251"/>
    <w:rsid w:val="E617D3C7"/>
    <w:rsid w:val="EEEF485C"/>
    <w:rsid w:val="EFFB60A2"/>
    <w:rsid w:val="F79FA2C8"/>
    <w:rsid w:val="F7DC0BCB"/>
    <w:rsid w:val="F8EFCE1E"/>
    <w:rsid w:val="FDF74264"/>
    <w:rsid w:val="FE4A28DF"/>
    <w:rsid w:val="FE5B9376"/>
    <w:rsid w:val="FEEF22FB"/>
    <w:rsid w:val="FEFFF3E6"/>
    <w:rsid w:val="FF7F07D3"/>
    <w:rsid w:val="FFD6B67D"/>
    <w:rsid w:val="FFDE7798"/>
    <w:rsid w:val="FFFBC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7"/>
    <w:pPr>
      <w:widowControl w:val="0"/>
      <w:suppressAutoHyphens w:val="0"/>
      <w:bidi w:val="0"/>
      <w:jc w:val="both"/>
    </w:pPr>
    <w:rPr>
      <w:rFonts w:ascii="Times New Roman" w:hAnsi="Times New Roman" w:eastAsia="仿宋_GB2312" w:cs="Times New Roman"/>
      <w:color w:val="auto"/>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line="560" w:lineRule="exact"/>
    </w:pPr>
    <w:rPr>
      <w:rFonts w:ascii="宋体" w:hAnsi="宋体"/>
    </w:rPr>
  </w:style>
  <w:style w:type="paragraph" w:styleId="3">
    <w:name w:val="Title"/>
    <w:basedOn w:val="1"/>
    <w:next w:val="1"/>
    <w:qFormat/>
    <w:uiPriority w:val="10"/>
    <w:pPr>
      <w:widowControl/>
      <w:spacing w:line="240" w:lineRule="auto"/>
      <w:contextualSpacing/>
      <w:jc w:val="left"/>
    </w:pPr>
    <w:rPr>
      <w:rFonts w:ascii="Cambria" w:hAnsi="Cambria" w:eastAsia="宋体"/>
      <w:spacing w:val="-10"/>
      <w:kern w:val="28"/>
      <w:sz w:val="56"/>
      <w:szCs w:val="56"/>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9"/>
    <w:qFormat/>
    <w:uiPriority w:val="0"/>
  </w:style>
  <w:style w:type="character" w:customStyle="1" w:styleId="9">
    <w:name w:val="默认段落字体1"/>
    <w:qFormat/>
    <w:uiPriority w:val="1723"/>
  </w:style>
  <w:style w:type="character" w:customStyle="1" w:styleId="10">
    <w:name w:val="font51"/>
    <w:basedOn w:val="7"/>
    <w:qFormat/>
    <w:uiPriority w:val="0"/>
    <w:rPr>
      <w:rFonts w:hint="eastAsia" w:ascii="宋体" w:hAnsi="宋体" w:eastAsia="宋体" w:cs="宋体"/>
      <w:b/>
      <w:bCs/>
      <w:i/>
      <w:iCs/>
      <w:color w:val="000000"/>
      <w:sz w:val="24"/>
      <w:szCs w:val="24"/>
      <w:u w:val="none"/>
    </w:rPr>
  </w:style>
  <w:style w:type="character" w:customStyle="1" w:styleId="11">
    <w:name w:val="font112"/>
    <w:basedOn w:val="7"/>
    <w:qFormat/>
    <w:uiPriority w:val="0"/>
    <w:rPr>
      <w:rFonts w:hint="eastAsia" w:ascii="宋体" w:hAnsi="宋体" w:eastAsia="宋体" w:cs="宋体"/>
      <w:i/>
      <w:iCs/>
      <w:color w:val="000000"/>
      <w:sz w:val="24"/>
      <w:szCs w:val="24"/>
      <w:u w:val="none"/>
    </w:rPr>
  </w:style>
  <w:style w:type="paragraph" w:customStyle="1" w:styleId="12">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Normal (Web)"/>
    <w:basedOn w:val="1"/>
    <w:qFormat/>
    <w:uiPriority w:val="0"/>
    <w:pPr>
      <w:keepNext w:val="0"/>
      <w:keepLines w:val="0"/>
      <w:widowControl/>
      <w:suppressLineNumbers w:val="0"/>
      <w:spacing w:before="0" w:beforeLines="0" w:beforeAutospacing="0" w:after="0" w:afterLines="0" w:afterAutospacing="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7786</Words>
  <Characters>8017</Characters>
  <Lines>0</Lines>
  <Paragraphs>0</Paragraphs>
  <TotalTime>54</TotalTime>
  <ScaleCrop>false</ScaleCrop>
  <LinksUpToDate>false</LinksUpToDate>
  <CharactersWithSpaces>8094</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2024-12-04T13:27:00Z</dcterms:created>
  <dc:creator>Leo°</dc:creator>
  <cp:lastModifiedBy>Leo°</cp:lastModifiedBy>
  <cp:lastPrinted>2025-08-02T10:02:00Z</cp:lastPrinted>
  <dcterms:modified xsi:type="dcterms:W3CDTF">2025-08-08T10:01:32Z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BD2CF89D0A79CC7BCEE18668C2911548_43</vt:lpwstr>
  </property>
  <property fmtid="{D5CDD505-2E9C-101B-9397-08002B2CF9AE}" pid="4" name="KSOTemplateDocerSaveRecord">
    <vt:lpwstr>eyJoZGlkIjoiZjdmMTUzMDhkNjU3YWRmNDVhNDFmMjVhMWJjM2ViNTUiLCJ1c2VySWQiOiIzODYxMzg3NTgifQ==</vt:lpwstr>
  </property>
</Properties>
</file>